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383B" w14:textId="6A92EC83" w:rsidR="000C6FCC" w:rsidRPr="0020749A" w:rsidRDefault="009F0151" w:rsidP="00457366">
      <w:pPr>
        <w:jc w:val="center"/>
        <w:rPr>
          <w:szCs w:val="22"/>
          <w:lang w:val="fr-FR"/>
        </w:rPr>
      </w:pPr>
      <w:bookmarkStart w:id="0" w:name="0-heading-nodeId--245097714"/>
      <w:r w:rsidRPr="0020749A">
        <w:rPr>
          <w:b/>
          <w:szCs w:val="22"/>
          <w:lang w:val="fr-FR"/>
        </w:rPr>
        <w:t>OPPOSITION N°B 3 217 349 </w:t>
      </w:r>
    </w:p>
    <w:p w14:paraId="0A03383C" w14:textId="710DFB05" w:rsidR="000C6FCC" w:rsidRPr="0020749A" w:rsidRDefault="009F0151" w:rsidP="00457366">
      <w:pPr>
        <w:jc w:val="center"/>
        <w:rPr>
          <w:szCs w:val="22"/>
          <w:lang w:val="fr-FR"/>
        </w:rPr>
      </w:pPr>
      <w:r w:rsidRPr="0020749A">
        <w:rPr>
          <w:szCs w:val="22"/>
          <w:lang w:val="fr-FR"/>
        </w:rPr>
        <w:t> </w:t>
      </w:r>
    </w:p>
    <w:p w14:paraId="0A03383D" w14:textId="77777777" w:rsidR="000C6FCC" w:rsidRPr="0020749A" w:rsidRDefault="009F0151" w:rsidP="00457366">
      <w:pPr>
        <w:jc w:val="both"/>
        <w:rPr>
          <w:szCs w:val="22"/>
          <w:lang w:val="fr-FR"/>
        </w:rPr>
      </w:pPr>
      <w:r w:rsidRPr="0020749A">
        <w:rPr>
          <w:b/>
          <w:szCs w:val="22"/>
          <w:lang w:val="fr-FR"/>
        </w:rPr>
        <w:t>Richemont International S.A.</w:t>
      </w:r>
      <w:r w:rsidRPr="0020749A">
        <w:rPr>
          <w:szCs w:val="22"/>
          <w:lang w:val="fr-FR"/>
        </w:rPr>
        <w:t xml:space="preserve">, Route des Biches 10, 1752 Villars-sur-Glâne (Fribourg), Suisse (opposante), représentée par </w:t>
      </w:r>
      <w:r w:rsidRPr="0020749A">
        <w:rPr>
          <w:b/>
          <w:szCs w:val="22"/>
          <w:lang w:val="fr-FR"/>
        </w:rPr>
        <w:t xml:space="preserve">Cabinet Germain &amp; </w:t>
      </w:r>
      <w:proofErr w:type="spellStart"/>
      <w:r w:rsidRPr="0020749A">
        <w:rPr>
          <w:b/>
          <w:szCs w:val="22"/>
          <w:lang w:val="fr-FR"/>
        </w:rPr>
        <w:t>Maureau</w:t>
      </w:r>
      <w:proofErr w:type="spellEnd"/>
      <w:r w:rsidRPr="0020749A">
        <w:rPr>
          <w:szCs w:val="22"/>
          <w:lang w:val="fr-FR"/>
        </w:rPr>
        <w:t>, 12, rue Boileau, 69006 Lyon, France (représentant professionnel)</w:t>
      </w:r>
    </w:p>
    <w:p w14:paraId="0A03383E" w14:textId="52882D63" w:rsidR="000C6FCC" w:rsidRPr="0020749A" w:rsidRDefault="009F0151" w:rsidP="00457366">
      <w:pPr>
        <w:jc w:val="center"/>
        <w:rPr>
          <w:szCs w:val="22"/>
          <w:lang w:val="fr-FR"/>
        </w:rPr>
      </w:pPr>
      <w:r w:rsidRPr="0020749A">
        <w:rPr>
          <w:szCs w:val="22"/>
          <w:lang w:val="fr-FR"/>
        </w:rPr>
        <w:t> </w:t>
      </w:r>
    </w:p>
    <w:p w14:paraId="0A03383F" w14:textId="77777777" w:rsidR="000C6FCC" w:rsidRPr="0020749A" w:rsidRDefault="009F0151" w:rsidP="00457366">
      <w:pPr>
        <w:jc w:val="center"/>
        <w:rPr>
          <w:szCs w:val="22"/>
          <w:lang w:val="it-IT"/>
        </w:rPr>
      </w:pPr>
      <w:r w:rsidRPr="0020749A">
        <w:rPr>
          <w:szCs w:val="22"/>
          <w:lang w:val="it-IT"/>
        </w:rPr>
        <w:t>c o n t r e</w:t>
      </w:r>
    </w:p>
    <w:p w14:paraId="0A033840" w14:textId="78AF0023" w:rsidR="000C6FCC" w:rsidRPr="0020749A" w:rsidRDefault="009F0151" w:rsidP="00457366">
      <w:pPr>
        <w:jc w:val="center"/>
        <w:rPr>
          <w:szCs w:val="22"/>
          <w:lang w:val="it-IT"/>
        </w:rPr>
      </w:pPr>
      <w:r w:rsidRPr="0020749A">
        <w:rPr>
          <w:szCs w:val="22"/>
          <w:lang w:val="it-IT"/>
        </w:rPr>
        <w:t> </w:t>
      </w:r>
    </w:p>
    <w:p w14:paraId="3D13DE45" w14:textId="77777777" w:rsidR="0020749A" w:rsidRPr="0020749A" w:rsidRDefault="009F0151" w:rsidP="00457366">
      <w:pPr>
        <w:jc w:val="both"/>
        <w:rPr>
          <w:szCs w:val="22"/>
          <w:lang w:val="it-IT"/>
        </w:rPr>
      </w:pPr>
      <w:r w:rsidRPr="0020749A">
        <w:rPr>
          <w:b/>
          <w:szCs w:val="22"/>
          <w:lang w:val="it-IT"/>
        </w:rPr>
        <w:t xml:space="preserve">Tiberiu-Petre </w:t>
      </w:r>
      <w:proofErr w:type="spellStart"/>
      <w:r w:rsidRPr="0020749A">
        <w:rPr>
          <w:b/>
          <w:szCs w:val="22"/>
          <w:lang w:val="it-IT"/>
        </w:rPr>
        <w:t>Stanciu</w:t>
      </w:r>
      <w:proofErr w:type="spellEnd"/>
      <w:r w:rsidRPr="0020749A">
        <w:rPr>
          <w:szCs w:val="22"/>
          <w:lang w:val="it-IT"/>
        </w:rPr>
        <w:t xml:space="preserve">, </w:t>
      </w:r>
      <w:proofErr w:type="spellStart"/>
      <w:r w:rsidR="00773526" w:rsidRPr="0020749A">
        <w:rPr>
          <w:szCs w:val="22"/>
          <w:lang w:val="it-IT"/>
        </w:rPr>
        <w:t>Str</w:t>
      </w:r>
      <w:proofErr w:type="spellEnd"/>
      <w:r w:rsidR="00773526" w:rsidRPr="0020749A">
        <w:rPr>
          <w:szCs w:val="22"/>
          <w:lang w:val="it-IT"/>
        </w:rPr>
        <w:t xml:space="preserve">. Galata nr. 46, Sc. 2, ap. u30, </w:t>
      </w:r>
      <w:proofErr w:type="spellStart"/>
      <w:r w:rsidR="00773526" w:rsidRPr="0020749A">
        <w:rPr>
          <w:szCs w:val="22"/>
          <w:lang w:val="it-IT"/>
        </w:rPr>
        <w:t>Voluntari</w:t>
      </w:r>
      <w:proofErr w:type="spellEnd"/>
      <w:r w:rsidR="00773526" w:rsidRPr="0020749A">
        <w:rPr>
          <w:szCs w:val="22"/>
          <w:lang w:val="it-IT"/>
        </w:rPr>
        <w:t xml:space="preserve">, </w:t>
      </w:r>
      <w:proofErr w:type="spellStart"/>
      <w:r w:rsidR="00773526" w:rsidRPr="0020749A">
        <w:rPr>
          <w:szCs w:val="22"/>
          <w:lang w:val="it-IT"/>
        </w:rPr>
        <w:t>Judet</w:t>
      </w:r>
      <w:proofErr w:type="spellEnd"/>
      <w:r w:rsidR="00773526" w:rsidRPr="0020749A">
        <w:rPr>
          <w:szCs w:val="22"/>
          <w:lang w:val="it-IT"/>
        </w:rPr>
        <w:t xml:space="preserve"> </w:t>
      </w:r>
      <w:proofErr w:type="spellStart"/>
      <w:r w:rsidR="00773526" w:rsidRPr="0020749A">
        <w:rPr>
          <w:szCs w:val="22"/>
          <w:lang w:val="it-IT"/>
        </w:rPr>
        <w:t>Ilfov</w:t>
      </w:r>
      <w:proofErr w:type="spellEnd"/>
      <w:r w:rsidR="00773526" w:rsidRPr="0020749A">
        <w:rPr>
          <w:szCs w:val="22"/>
          <w:lang w:val="it-IT"/>
        </w:rPr>
        <w:t xml:space="preserve">, </w:t>
      </w:r>
      <w:proofErr w:type="spellStart"/>
      <w:r w:rsidR="00773526" w:rsidRPr="0020749A">
        <w:rPr>
          <w:szCs w:val="22"/>
          <w:lang w:val="it-IT"/>
        </w:rPr>
        <w:t>Roumanie</w:t>
      </w:r>
      <w:proofErr w:type="spellEnd"/>
      <w:r w:rsidR="00773526" w:rsidRPr="0020749A">
        <w:rPr>
          <w:szCs w:val="22"/>
          <w:lang w:val="it-IT"/>
        </w:rPr>
        <w:t xml:space="preserve"> (</w:t>
      </w:r>
      <w:proofErr w:type="spellStart"/>
      <w:r w:rsidR="00773526" w:rsidRPr="0020749A">
        <w:rPr>
          <w:szCs w:val="22"/>
          <w:lang w:val="it-IT"/>
        </w:rPr>
        <w:t>d</w:t>
      </w:r>
      <w:r w:rsidRPr="0020749A">
        <w:rPr>
          <w:szCs w:val="22"/>
          <w:lang w:val="it-IT"/>
        </w:rPr>
        <w:t>emanderesse</w:t>
      </w:r>
      <w:proofErr w:type="spellEnd"/>
      <w:r w:rsidRPr="0020749A">
        <w:rPr>
          <w:szCs w:val="22"/>
          <w:lang w:val="it-IT"/>
        </w:rPr>
        <w:t xml:space="preserve">), </w:t>
      </w:r>
      <w:proofErr w:type="spellStart"/>
      <w:r w:rsidRPr="0020749A">
        <w:rPr>
          <w:szCs w:val="22"/>
          <w:lang w:val="it-IT"/>
        </w:rPr>
        <w:t>représentée</w:t>
      </w:r>
      <w:proofErr w:type="spellEnd"/>
      <w:r w:rsidRPr="0020749A">
        <w:rPr>
          <w:szCs w:val="22"/>
          <w:lang w:val="it-IT"/>
        </w:rPr>
        <w:t xml:space="preserve"> par </w:t>
      </w:r>
      <w:r w:rsidRPr="0020749A">
        <w:rPr>
          <w:b/>
          <w:szCs w:val="22"/>
          <w:lang w:val="it-IT"/>
        </w:rPr>
        <w:t xml:space="preserve">Paula Adriana </w:t>
      </w:r>
      <w:proofErr w:type="spellStart"/>
      <w:r w:rsidRPr="0020749A">
        <w:rPr>
          <w:b/>
          <w:szCs w:val="22"/>
          <w:lang w:val="it-IT"/>
        </w:rPr>
        <w:t>Acsinte</w:t>
      </w:r>
      <w:proofErr w:type="spellEnd"/>
      <w:r w:rsidRPr="0020749A">
        <w:rPr>
          <w:szCs w:val="22"/>
          <w:lang w:val="it-IT"/>
        </w:rPr>
        <w:t xml:space="preserve">, </w:t>
      </w:r>
      <w:proofErr w:type="spellStart"/>
      <w:r w:rsidRPr="0020749A">
        <w:rPr>
          <w:szCs w:val="22"/>
          <w:lang w:val="it-IT"/>
        </w:rPr>
        <w:t>Calea</w:t>
      </w:r>
      <w:proofErr w:type="spellEnd"/>
      <w:r w:rsidRPr="0020749A">
        <w:rPr>
          <w:szCs w:val="22"/>
          <w:lang w:val="it-IT"/>
        </w:rPr>
        <w:t xml:space="preserve"> </w:t>
      </w:r>
      <w:proofErr w:type="spellStart"/>
      <w:r w:rsidRPr="0020749A">
        <w:rPr>
          <w:szCs w:val="22"/>
          <w:lang w:val="it-IT"/>
        </w:rPr>
        <w:t>Calarasilor</w:t>
      </w:r>
      <w:proofErr w:type="spellEnd"/>
      <w:r w:rsidRPr="0020749A">
        <w:rPr>
          <w:szCs w:val="22"/>
          <w:lang w:val="it-IT"/>
        </w:rPr>
        <w:t xml:space="preserve"> nr. 177, </w:t>
      </w:r>
      <w:proofErr w:type="spellStart"/>
      <w:r w:rsidRPr="0020749A">
        <w:rPr>
          <w:szCs w:val="22"/>
          <w:lang w:val="it-IT"/>
        </w:rPr>
        <w:t>bl</w:t>
      </w:r>
      <w:proofErr w:type="spellEnd"/>
      <w:r w:rsidRPr="0020749A">
        <w:rPr>
          <w:szCs w:val="22"/>
          <w:lang w:val="it-IT"/>
        </w:rPr>
        <w:t xml:space="preserve">. 45, et. 4, ap. 12, Sector 3, 030616 </w:t>
      </w:r>
      <w:proofErr w:type="spellStart"/>
      <w:r w:rsidRPr="0020749A">
        <w:rPr>
          <w:szCs w:val="22"/>
          <w:lang w:val="it-IT"/>
        </w:rPr>
        <w:t>Bucharest</w:t>
      </w:r>
      <w:proofErr w:type="spellEnd"/>
      <w:r w:rsidRPr="0020749A">
        <w:rPr>
          <w:szCs w:val="22"/>
          <w:lang w:val="it-IT"/>
        </w:rPr>
        <w:t xml:space="preserve">, </w:t>
      </w:r>
      <w:proofErr w:type="spellStart"/>
      <w:r w:rsidRPr="0020749A">
        <w:rPr>
          <w:szCs w:val="22"/>
          <w:lang w:val="it-IT"/>
        </w:rPr>
        <w:t>Roumanie</w:t>
      </w:r>
      <w:proofErr w:type="spellEnd"/>
      <w:r w:rsidRPr="0020749A">
        <w:rPr>
          <w:szCs w:val="22"/>
          <w:lang w:val="it-IT"/>
        </w:rPr>
        <w:t xml:space="preserve"> (</w:t>
      </w:r>
      <w:proofErr w:type="spellStart"/>
      <w:r w:rsidRPr="0020749A">
        <w:rPr>
          <w:szCs w:val="22"/>
          <w:lang w:val="it-IT"/>
        </w:rPr>
        <w:t>représentant</w:t>
      </w:r>
      <w:proofErr w:type="spellEnd"/>
      <w:r w:rsidRPr="0020749A">
        <w:rPr>
          <w:szCs w:val="22"/>
          <w:lang w:val="it-IT"/>
        </w:rPr>
        <w:t xml:space="preserve"> </w:t>
      </w:r>
      <w:proofErr w:type="spellStart"/>
      <w:r w:rsidRPr="0020749A">
        <w:rPr>
          <w:szCs w:val="22"/>
          <w:lang w:val="it-IT"/>
        </w:rPr>
        <w:t>professionnel</w:t>
      </w:r>
      <w:proofErr w:type="spellEnd"/>
      <w:r w:rsidRPr="0020749A">
        <w:rPr>
          <w:szCs w:val="22"/>
          <w:lang w:val="it-IT"/>
        </w:rPr>
        <w:t>).</w:t>
      </w:r>
    </w:p>
    <w:p w14:paraId="0A033843" w14:textId="3E42CF7D" w:rsidR="0020749A" w:rsidRPr="0020749A" w:rsidRDefault="0020749A" w:rsidP="00457366">
      <w:pPr>
        <w:jc w:val="both"/>
        <w:rPr>
          <w:szCs w:val="22"/>
          <w:lang w:val="it-IT"/>
        </w:rPr>
      </w:pPr>
    </w:p>
    <w:p w14:paraId="72294189" w14:textId="77777777" w:rsidR="000C6FCC" w:rsidRPr="0020749A" w:rsidRDefault="0020749A" w:rsidP="00457366">
      <w:pPr>
        <w:jc w:val="both"/>
        <w:rPr>
          <w:szCs w:val="22"/>
          <w:lang w:val="fr-FR"/>
        </w:rPr>
      </w:pPr>
      <w:r w:rsidRPr="0020749A">
        <w:rPr>
          <w:szCs w:val="22"/>
          <w:lang w:val="it-IT"/>
        </w:rPr>
        <w:t xml:space="preserve">Le 20/05/2025, la </w:t>
      </w:r>
      <w:proofErr w:type="spellStart"/>
      <w:r w:rsidRPr="0020749A">
        <w:rPr>
          <w:szCs w:val="22"/>
          <w:lang w:val="it-IT"/>
        </w:rPr>
        <w:t>division</w:t>
      </w:r>
      <w:proofErr w:type="spellEnd"/>
      <w:r w:rsidRPr="0020749A">
        <w:rPr>
          <w:szCs w:val="22"/>
          <w:lang w:val="it-IT"/>
        </w:rPr>
        <w:t xml:space="preserve"> d’</w:t>
      </w:r>
      <w:proofErr w:type="spellStart"/>
      <w:r w:rsidRPr="0020749A">
        <w:rPr>
          <w:szCs w:val="22"/>
          <w:lang w:val="it-IT"/>
        </w:rPr>
        <w:t>opposition</w:t>
      </w:r>
      <w:proofErr w:type="spellEnd"/>
      <w:r w:rsidRPr="0020749A">
        <w:rPr>
          <w:szCs w:val="22"/>
          <w:lang w:val="it-IT"/>
        </w:rPr>
        <w:t xml:space="preserve"> </w:t>
      </w:r>
      <w:proofErr w:type="spellStart"/>
      <w:r w:rsidRPr="0020749A">
        <w:rPr>
          <w:szCs w:val="22"/>
          <w:lang w:val="it-IT"/>
        </w:rPr>
        <w:t>rend</w:t>
      </w:r>
      <w:proofErr w:type="spellEnd"/>
      <w:r w:rsidRPr="0020749A">
        <w:rPr>
          <w:szCs w:val="22"/>
          <w:lang w:val="it-IT"/>
        </w:rPr>
        <w:t xml:space="preserve"> la </w:t>
      </w:r>
      <w:proofErr w:type="spellStart"/>
      <w:r w:rsidRPr="0020749A">
        <w:rPr>
          <w:szCs w:val="22"/>
          <w:lang w:val="it-IT"/>
        </w:rPr>
        <w:t>présente</w:t>
      </w:r>
      <w:proofErr w:type="spellEnd"/>
    </w:p>
    <w:p w14:paraId="7C9A2ECF" w14:textId="77777777" w:rsidR="00457366" w:rsidRPr="0020749A" w:rsidRDefault="00457366" w:rsidP="00457366">
      <w:pPr>
        <w:jc w:val="center"/>
        <w:rPr>
          <w:b/>
          <w:szCs w:val="22"/>
          <w:lang w:val="fr-FR"/>
        </w:rPr>
      </w:pPr>
    </w:p>
    <w:p w14:paraId="7C18E48A" w14:textId="77777777" w:rsidR="00457366" w:rsidRPr="0020749A" w:rsidRDefault="00457366" w:rsidP="00457366">
      <w:pPr>
        <w:jc w:val="center"/>
        <w:rPr>
          <w:b/>
          <w:szCs w:val="22"/>
          <w:lang w:val="fr-FR"/>
        </w:rPr>
      </w:pPr>
    </w:p>
    <w:p w14:paraId="0A033848" w14:textId="4202AFA3" w:rsidR="000C6FCC" w:rsidRPr="0020749A" w:rsidRDefault="009F0151" w:rsidP="00457366">
      <w:pPr>
        <w:jc w:val="center"/>
        <w:rPr>
          <w:szCs w:val="22"/>
        </w:rPr>
      </w:pPr>
      <w:r w:rsidRPr="0020749A">
        <w:rPr>
          <w:b/>
          <w:szCs w:val="22"/>
        </w:rPr>
        <w:t>DECISION:</w:t>
      </w:r>
    </w:p>
    <w:p w14:paraId="0A033849" w14:textId="58F7ABE3" w:rsidR="000C6FCC" w:rsidRPr="0020749A" w:rsidRDefault="009F0151" w:rsidP="00457366">
      <w:pPr>
        <w:rPr>
          <w:szCs w:val="22"/>
        </w:rPr>
      </w:pPr>
      <w:r w:rsidRPr="0020749A">
        <w:rPr>
          <w:szCs w:val="22"/>
        </w:rPr>
        <w:t> </w:t>
      </w:r>
    </w:p>
    <w:tbl>
      <w:tblPr>
        <w:tblW w:w="0" w:type="auto"/>
        <w:tblCellSpacing w:w="0" w:type="auto"/>
        <w:tblLook w:val="04A0" w:firstRow="1" w:lastRow="0" w:firstColumn="1" w:lastColumn="0" w:noHBand="0" w:noVBand="1"/>
      </w:tblPr>
      <w:tblGrid>
        <w:gridCol w:w="452"/>
        <w:gridCol w:w="20"/>
        <w:gridCol w:w="48"/>
        <w:gridCol w:w="8507"/>
      </w:tblGrid>
      <w:tr w:rsidR="00F16D88" w:rsidRPr="0020749A" w14:paraId="0A03384D" w14:textId="77777777" w:rsidTr="00773526">
        <w:trPr>
          <w:trHeight w:val="30"/>
          <w:tblCellSpacing w:w="0" w:type="auto"/>
        </w:trPr>
        <w:tc>
          <w:tcPr>
            <w:tcW w:w="453" w:type="dxa"/>
            <w:tcMar>
              <w:top w:w="15" w:type="dxa"/>
              <w:left w:w="15" w:type="dxa"/>
              <w:bottom w:w="15" w:type="dxa"/>
              <w:right w:w="15" w:type="dxa"/>
            </w:tcMar>
          </w:tcPr>
          <w:p w14:paraId="0A03384B" w14:textId="4CEB6B2E" w:rsidR="000C6FCC" w:rsidRPr="00263A42" w:rsidRDefault="009F0151" w:rsidP="00457366">
            <w:pPr>
              <w:jc w:val="both"/>
              <w:rPr>
                <w:szCs w:val="22"/>
                <w14:shadow w14:blurRad="50800" w14:dist="38100" w14:dir="2700000" w14:sx="100000" w14:sy="100000" w14:kx="0" w14:ky="0" w14:algn="tl">
                  <w14:srgbClr w14:val="000000">
                    <w14:alpha w14:val="60000"/>
                  </w14:srgbClr>
                </w14:shadow>
              </w:rPr>
            </w:pPr>
            <w:bookmarkStart w:id="1" w:name="chk-paragraph-2-1_nodeId--1267695376"/>
            <w:bookmarkEnd w:id="0"/>
            <w:r w:rsidRPr="0020749A">
              <w:rPr>
                <w:b/>
                <w:szCs w:val="22"/>
              </w:rPr>
              <w:t>1.</w:t>
            </w:r>
          </w:p>
        </w:tc>
        <w:tc>
          <w:tcPr>
            <w:tcW w:w="8604" w:type="dxa"/>
            <w:gridSpan w:val="3"/>
            <w:tcMar>
              <w:top w:w="15" w:type="dxa"/>
              <w:left w:w="15" w:type="dxa"/>
              <w:bottom w:w="15" w:type="dxa"/>
              <w:right w:w="15" w:type="dxa"/>
            </w:tcMar>
          </w:tcPr>
          <w:p w14:paraId="7DD1ADFF" w14:textId="3E6FBE3D" w:rsidR="000C6FCC" w:rsidRPr="0020749A" w:rsidRDefault="009F0151" w:rsidP="00457366">
            <w:pPr>
              <w:jc w:val="both"/>
              <w:rPr>
                <w:szCs w:val="22"/>
                <w:lang w:val="fr-FR"/>
              </w:rPr>
            </w:pPr>
            <w:r w:rsidRPr="0020749A">
              <w:rPr>
                <w:szCs w:val="22"/>
                <w:lang w:val="fr-FR"/>
              </w:rPr>
              <w:t>L’opposition n° B 3 217 349 est accueillie pour tous les produits</w:t>
            </w:r>
            <w:r w:rsidR="00D80673" w:rsidRPr="0020749A">
              <w:rPr>
                <w:szCs w:val="22"/>
                <w:lang w:val="fr-FR"/>
              </w:rPr>
              <w:t xml:space="preserve"> </w:t>
            </w:r>
            <w:r w:rsidRPr="0020749A">
              <w:rPr>
                <w:szCs w:val="22"/>
                <w:lang w:val="fr-FR"/>
              </w:rPr>
              <w:t>contestés.</w:t>
            </w:r>
          </w:p>
          <w:p w14:paraId="0A03384C" w14:textId="77777777" w:rsidR="00773526" w:rsidRPr="00263A42" w:rsidRDefault="00773526" w:rsidP="00457366">
            <w:pPr>
              <w:jc w:val="both"/>
              <w:rPr>
                <w:szCs w:val="22"/>
                <w:lang w:val="fr-FR"/>
                <w14:shadow w14:blurRad="50800" w14:dist="38100" w14:dir="2700000" w14:sx="100000" w14:sy="100000" w14:kx="0" w14:ky="0" w14:algn="tl">
                  <w14:srgbClr w14:val="000000">
                    <w14:alpha w14:val="60000"/>
                  </w14:srgbClr>
                </w14:shadow>
              </w:rPr>
            </w:pPr>
          </w:p>
        </w:tc>
      </w:tr>
      <w:tr w:rsidR="00F16D88" w:rsidRPr="0020749A" w14:paraId="0A033852" w14:textId="77777777" w:rsidTr="00773526">
        <w:trPr>
          <w:trHeight w:val="30"/>
          <w:tblCellSpacing w:w="0" w:type="auto"/>
        </w:trPr>
        <w:tc>
          <w:tcPr>
            <w:tcW w:w="521" w:type="dxa"/>
            <w:gridSpan w:val="3"/>
            <w:tcMar>
              <w:top w:w="15" w:type="dxa"/>
              <w:left w:w="15" w:type="dxa"/>
              <w:bottom w:w="15" w:type="dxa"/>
              <w:right w:w="15" w:type="dxa"/>
            </w:tcMar>
          </w:tcPr>
          <w:p w14:paraId="0A033850" w14:textId="376D5AD4" w:rsidR="000C6FCC" w:rsidRPr="00263A42" w:rsidRDefault="009F0151" w:rsidP="00457366">
            <w:pPr>
              <w:jc w:val="both"/>
              <w:rPr>
                <w:szCs w:val="22"/>
                <w14:shadow w14:blurRad="50800" w14:dist="38100" w14:dir="2700000" w14:sx="100000" w14:sy="100000" w14:kx="0" w14:ky="0" w14:algn="tl">
                  <w14:srgbClr w14:val="000000">
                    <w14:alpha w14:val="60000"/>
                  </w14:srgbClr>
                </w14:shadow>
              </w:rPr>
            </w:pPr>
            <w:bookmarkStart w:id="2" w:name="chk-paragraph-2-1-1_nodeId--553874705"/>
            <w:bookmarkEnd w:id="1"/>
            <w:r w:rsidRPr="0020749A">
              <w:rPr>
                <w:b/>
                <w:szCs w:val="22"/>
              </w:rPr>
              <w:t>2.</w:t>
            </w:r>
          </w:p>
        </w:tc>
        <w:tc>
          <w:tcPr>
            <w:tcW w:w="8536" w:type="dxa"/>
            <w:tcMar>
              <w:top w:w="15" w:type="dxa"/>
              <w:left w:w="15" w:type="dxa"/>
              <w:bottom w:w="15" w:type="dxa"/>
              <w:right w:w="15" w:type="dxa"/>
            </w:tcMar>
          </w:tcPr>
          <w:p w14:paraId="3AB65F2C" w14:textId="0447726D" w:rsidR="000C6FCC" w:rsidRPr="0020749A" w:rsidRDefault="009F0151" w:rsidP="00457366">
            <w:pPr>
              <w:jc w:val="both"/>
              <w:rPr>
                <w:szCs w:val="22"/>
                <w:lang w:val="fr-FR"/>
              </w:rPr>
            </w:pPr>
            <w:r w:rsidRPr="0020749A">
              <w:rPr>
                <w:szCs w:val="22"/>
                <w:lang w:val="fr-FR"/>
              </w:rPr>
              <w:t>La demande de marque de l’Union européenne n° 18 982 545 est rejetée dans son intégralité.</w:t>
            </w:r>
          </w:p>
          <w:p w14:paraId="0A033851" w14:textId="77777777" w:rsidR="00457366" w:rsidRPr="00263A42" w:rsidRDefault="00457366" w:rsidP="00457366">
            <w:pPr>
              <w:jc w:val="both"/>
              <w:rPr>
                <w:szCs w:val="22"/>
                <w:lang w:val="fr-FR"/>
                <w14:shadow w14:blurRad="50800" w14:dist="38100" w14:dir="2700000" w14:sx="100000" w14:sy="100000" w14:kx="0" w14:ky="0" w14:algn="tl">
                  <w14:srgbClr w14:val="000000">
                    <w14:alpha w14:val="60000"/>
                  </w14:srgbClr>
                </w14:shadow>
              </w:rPr>
            </w:pPr>
          </w:p>
        </w:tc>
      </w:tr>
      <w:tr w:rsidR="00F16D88" w:rsidRPr="0020749A" w14:paraId="0A033858" w14:textId="77777777" w:rsidTr="00457366">
        <w:trPr>
          <w:trHeight w:val="30"/>
          <w:tblCellSpacing w:w="0" w:type="auto"/>
        </w:trPr>
        <w:tc>
          <w:tcPr>
            <w:tcW w:w="473" w:type="dxa"/>
            <w:gridSpan w:val="2"/>
            <w:tcMar>
              <w:top w:w="15" w:type="dxa"/>
              <w:left w:w="15" w:type="dxa"/>
              <w:bottom w:w="15" w:type="dxa"/>
              <w:right w:w="15" w:type="dxa"/>
            </w:tcMar>
          </w:tcPr>
          <w:p w14:paraId="0A033856" w14:textId="711B92F1" w:rsidR="000C6FCC" w:rsidRPr="00263A42" w:rsidRDefault="009F0151" w:rsidP="00457366">
            <w:pPr>
              <w:jc w:val="both"/>
              <w:rPr>
                <w:szCs w:val="22"/>
                <w14:shadow w14:blurRad="50800" w14:dist="38100" w14:dir="2700000" w14:sx="100000" w14:sy="100000" w14:kx="0" w14:ky="0" w14:algn="tl">
                  <w14:srgbClr w14:val="000000">
                    <w14:alpha w14:val="60000"/>
                  </w14:srgbClr>
                </w14:shadow>
              </w:rPr>
            </w:pPr>
            <w:bookmarkStart w:id="3" w:name="chk-paragraph-2-1-1-1_nodeId-794311471"/>
            <w:bookmarkEnd w:id="2"/>
            <w:r w:rsidRPr="0020749A">
              <w:rPr>
                <w:b/>
                <w:szCs w:val="22"/>
              </w:rPr>
              <w:t>3.</w:t>
            </w:r>
          </w:p>
        </w:tc>
        <w:tc>
          <w:tcPr>
            <w:tcW w:w="8584" w:type="dxa"/>
            <w:gridSpan w:val="2"/>
            <w:tcMar>
              <w:top w:w="15" w:type="dxa"/>
              <w:left w:w="15" w:type="dxa"/>
              <w:bottom w:w="15" w:type="dxa"/>
              <w:right w:w="15" w:type="dxa"/>
            </w:tcMar>
          </w:tcPr>
          <w:p w14:paraId="0A033857" w14:textId="1C958967" w:rsidR="00D80673" w:rsidRPr="0020749A" w:rsidRDefault="009F0151" w:rsidP="00457366">
            <w:pPr>
              <w:jc w:val="both"/>
              <w:rPr>
                <w:szCs w:val="22"/>
                <w:lang w:val="fr-FR"/>
              </w:rPr>
            </w:pPr>
            <w:r w:rsidRPr="0020749A">
              <w:rPr>
                <w:szCs w:val="22"/>
                <w:lang w:val="fr-FR"/>
              </w:rPr>
              <w:t>La demanderesse supporte les frais, fixés à 620 EUR.</w:t>
            </w:r>
          </w:p>
        </w:tc>
      </w:tr>
    </w:tbl>
    <w:p w14:paraId="321A95AE" w14:textId="77777777" w:rsidR="00457366" w:rsidRPr="0020749A" w:rsidRDefault="00457366" w:rsidP="00457366">
      <w:pPr>
        <w:jc w:val="center"/>
        <w:rPr>
          <w:b/>
          <w:szCs w:val="22"/>
          <w:lang w:val="fr-FR"/>
        </w:rPr>
      </w:pPr>
      <w:bookmarkStart w:id="4" w:name="chk-paragraph-3_nodeId-1085394009"/>
      <w:bookmarkEnd w:id="3"/>
    </w:p>
    <w:p w14:paraId="60AE40FD" w14:textId="77777777" w:rsidR="00457366" w:rsidRPr="0020749A" w:rsidRDefault="00457366" w:rsidP="00457366">
      <w:pPr>
        <w:jc w:val="center"/>
        <w:rPr>
          <w:b/>
          <w:szCs w:val="22"/>
          <w:lang w:val="fr-FR"/>
        </w:rPr>
      </w:pPr>
    </w:p>
    <w:p w14:paraId="0A033859" w14:textId="40ED0A3B" w:rsidR="000C6FCC" w:rsidRPr="0020749A" w:rsidRDefault="009F0151" w:rsidP="00457366">
      <w:pPr>
        <w:jc w:val="center"/>
        <w:rPr>
          <w:szCs w:val="22"/>
          <w:lang w:val="fr-FR"/>
        </w:rPr>
      </w:pPr>
      <w:r w:rsidRPr="0020749A">
        <w:rPr>
          <w:b/>
          <w:szCs w:val="22"/>
          <w:lang w:val="fr-FR"/>
        </w:rPr>
        <w:t>MOTIFS</w:t>
      </w:r>
    </w:p>
    <w:p w14:paraId="0A03385A" w14:textId="6FBB3479" w:rsidR="000C6FCC" w:rsidRPr="0020749A" w:rsidRDefault="009F0151" w:rsidP="00457366">
      <w:pPr>
        <w:jc w:val="both"/>
        <w:rPr>
          <w:szCs w:val="22"/>
          <w:lang w:val="fr-FR"/>
        </w:rPr>
      </w:pPr>
      <w:r w:rsidRPr="0020749A">
        <w:rPr>
          <w:szCs w:val="22"/>
          <w:lang w:val="fr-FR"/>
        </w:rPr>
        <w:t> </w:t>
      </w:r>
    </w:p>
    <w:p w14:paraId="0A03385B" w14:textId="619E37E8" w:rsidR="000C6FCC" w:rsidRPr="0020749A" w:rsidRDefault="009F0151" w:rsidP="00457366">
      <w:pPr>
        <w:jc w:val="both"/>
        <w:rPr>
          <w:szCs w:val="22"/>
          <w:lang w:val="fr-FR"/>
        </w:rPr>
      </w:pPr>
      <w:r w:rsidRPr="0020749A">
        <w:rPr>
          <w:szCs w:val="22"/>
          <w:lang w:val="fr-FR"/>
        </w:rPr>
        <w:t xml:space="preserve">Le 16/05/2024, l’opposante a formé une opposition à l’encontre de tous les produits visés par la demande de marque de l'Union européenne n° 18 982 545 </w:t>
      </w:r>
      <w:r w:rsidRPr="0020749A">
        <w:rPr>
          <w:noProof/>
          <w:szCs w:val="22"/>
        </w:rPr>
        <w:drawing>
          <wp:inline distT="0" distB="0" distL="0" distR="0" wp14:anchorId="0A0339D2" wp14:editId="1F595A57">
            <wp:extent cx="526398" cy="818288"/>
            <wp:effectExtent l="0" t="0" r="0" b="0"/>
            <wp:docPr id="1455271789" name="Picture 145527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809" t="4453" r="23469" b="4263"/>
                    <a:stretch/>
                  </pic:blipFill>
                  <pic:spPr bwMode="auto">
                    <a:xfrm>
                      <a:off x="0" y="0"/>
                      <a:ext cx="532290" cy="827447"/>
                    </a:xfrm>
                    <a:prstGeom prst="rect">
                      <a:avLst/>
                    </a:prstGeom>
                    <a:ln>
                      <a:noFill/>
                    </a:ln>
                    <a:extLst>
                      <a:ext uri="{53640926-AAD7-44D8-BBD7-CCE9431645EC}">
                        <a14:shadowObscured xmlns:a14="http://schemas.microsoft.com/office/drawing/2010/main"/>
                      </a:ext>
                    </a:extLst>
                  </pic:spPr>
                </pic:pic>
              </a:graphicData>
            </a:graphic>
          </wp:inline>
        </w:drawing>
      </w:r>
      <w:r w:rsidRPr="0020749A">
        <w:rPr>
          <w:szCs w:val="22"/>
          <w:lang w:val="fr-FR"/>
        </w:rPr>
        <w:t xml:space="preserve"> (marque figurative). L’opposition est fondée sur </w:t>
      </w:r>
      <w:r w:rsidR="00D80673" w:rsidRPr="0020749A">
        <w:rPr>
          <w:szCs w:val="22"/>
          <w:lang w:val="fr-FR"/>
        </w:rPr>
        <w:t>l’</w:t>
      </w:r>
      <w:r w:rsidRPr="0020749A">
        <w:rPr>
          <w:szCs w:val="22"/>
          <w:lang w:val="fr-FR"/>
        </w:rPr>
        <w:t>enregistrement de marque de l’Union européenne n°</w:t>
      </w:r>
      <w:r w:rsidR="00D80673" w:rsidRPr="0020749A">
        <w:rPr>
          <w:szCs w:val="22"/>
          <w:lang w:val="fr-FR"/>
        </w:rPr>
        <w:t> </w:t>
      </w:r>
      <w:r w:rsidRPr="0020749A">
        <w:rPr>
          <w:szCs w:val="22"/>
          <w:lang w:val="fr-FR"/>
        </w:rPr>
        <w:t xml:space="preserve">13 207 097 </w:t>
      </w:r>
      <w:r w:rsidR="00D80673" w:rsidRPr="0020749A">
        <w:rPr>
          <w:szCs w:val="22"/>
          <w:lang w:val="fr-FR"/>
        </w:rPr>
        <w:t>« </w:t>
      </w:r>
      <w:r w:rsidRPr="0020749A">
        <w:rPr>
          <w:szCs w:val="22"/>
          <w:lang w:val="fr-FR"/>
        </w:rPr>
        <w:t>CARTIER</w:t>
      </w:r>
      <w:r w:rsidR="00D80673" w:rsidRPr="0020749A">
        <w:rPr>
          <w:szCs w:val="22"/>
          <w:lang w:val="fr-FR"/>
        </w:rPr>
        <w:t> » (marque verbale), l’</w:t>
      </w:r>
      <w:r w:rsidRPr="0020749A">
        <w:rPr>
          <w:szCs w:val="22"/>
          <w:lang w:val="fr-FR"/>
        </w:rPr>
        <w:t xml:space="preserve">enregistrement de marque internationale désignant </w:t>
      </w:r>
      <w:r w:rsidR="00D80673" w:rsidRPr="0020749A">
        <w:rPr>
          <w:szCs w:val="22"/>
          <w:lang w:val="fr-FR"/>
        </w:rPr>
        <w:t>l’</w:t>
      </w:r>
      <w:r w:rsidRPr="0020749A">
        <w:rPr>
          <w:szCs w:val="22"/>
          <w:lang w:val="fr-FR"/>
        </w:rPr>
        <w:t>Union européenne n°</w:t>
      </w:r>
      <w:r w:rsidR="00D80673" w:rsidRPr="0020749A">
        <w:rPr>
          <w:szCs w:val="22"/>
          <w:lang w:val="fr-FR"/>
        </w:rPr>
        <w:t> </w:t>
      </w:r>
      <w:r w:rsidRPr="0020749A">
        <w:rPr>
          <w:szCs w:val="22"/>
          <w:lang w:val="fr-FR"/>
        </w:rPr>
        <w:t xml:space="preserve">1 751 221 </w:t>
      </w:r>
      <w:r w:rsidR="00D80673" w:rsidRPr="0020749A">
        <w:rPr>
          <w:noProof/>
          <w:szCs w:val="22"/>
        </w:rPr>
        <w:drawing>
          <wp:inline distT="0" distB="0" distL="0" distR="0" wp14:anchorId="2F7E4D59" wp14:editId="67D99527">
            <wp:extent cx="546044" cy="237538"/>
            <wp:effectExtent l="0" t="0" r="0" b="0"/>
            <wp:docPr id="55777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953" cy="239674"/>
                    </a:xfrm>
                    <a:prstGeom prst="rect">
                      <a:avLst/>
                    </a:prstGeom>
                    <a:noFill/>
                    <a:ln>
                      <a:noFill/>
                    </a:ln>
                  </pic:spPr>
                </pic:pic>
              </a:graphicData>
            </a:graphic>
          </wp:inline>
        </w:drawing>
      </w:r>
      <w:r w:rsidR="00777607" w:rsidRPr="0020749A">
        <w:rPr>
          <w:szCs w:val="22"/>
          <w:lang w:val="fr-FR"/>
        </w:rPr>
        <w:t xml:space="preserve"> (marque figurative)</w:t>
      </w:r>
      <w:r w:rsidR="00D80673" w:rsidRPr="0020749A">
        <w:rPr>
          <w:szCs w:val="22"/>
          <w:lang w:val="fr-FR"/>
        </w:rPr>
        <w:t>, et l’</w:t>
      </w:r>
      <w:r w:rsidRPr="0020749A">
        <w:rPr>
          <w:szCs w:val="22"/>
          <w:lang w:val="fr-FR"/>
        </w:rPr>
        <w:t xml:space="preserve">enregistrement de marque internationale désignant </w:t>
      </w:r>
      <w:r w:rsidR="00D80673" w:rsidRPr="0020749A">
        <w:rPr>
          <w:szCs w:val="22"/>
          <w:lang w:val="fr-FR"/>
        </w:rPr>
        <w:t>l’</w:t>
      </w:r>
      <w:r w:rsidRPr="0020749A">
        <w:rPr>
          <w:szCs w:val="22"/>
          <w:lang w:val="fr-FR"/>
        </w:rPr>
        <w:t xml:space="preserve">Autriche, </w:t>
      </w:r>
      <w:r w:rsidR="00D80673" w:rsidRPr="0020749A">
        <w:rPr>
          <w:szCs w:val="22"/>
          <w:lang w:val="fr-FR"/>
        </w:rPr>
        <w:t xml:space="preserve">la </w:t>
      </w:r>
      <w:r w:rsidRPr="0020749A">
        <w:rPr>
          <w:szCs w:val="22"/>
          <w:lang w:val="fr-FR"/>
        </w:rPr>
        <w:t xml:space="preserve">République tchèque, </w:t>
      </w:r>
      <w:r w:rsidR="00D80673" w:rsidRPr="0020749A">
        <w:rPr>
          <w:szCs w:val="22"/>
          <w:lang w:val="fr-FR"/>
        </w:rPr>
        <w:t>l’</w:t>
      </w:r>
      <w:r w:rsidRPr="0020749A">
        <w:rPr>
          <w:szCs w:val="22"/>
          <w:lang w:val="fr-FR"/>
        </w:rPr>
        <w:t xml:space="preserve">Allemagne, </w:t>
      </w:r>
      <w:r w:rsidR="00D80673" w:rsidRPr="0020749A">
        <w:rPr>
          <w:szCs w:val="22"/>
          <w:lang w:val="fr-FR"/>
        </w:rPr>
        <w:t xml:space="preserve">la </w:t>
      </w:r>
      <w:r w:rsidRPr="0020749A">
        <w:rPr>
          <w:szCs w:val="22"/>
          <w:lang w:val="fr-FR"/>
        </w:rPr>
        <w:t xml:space="preserve">France, </w:t>
      </w:r>
      <w:r w:rsidR="00D80673" w:rsidRPr="0020749A">
        <w:rPr>
          <w:szCs w:val="22"/>
          <w:lang w:val="fr-FR"/>
        </w:rPr>
        <w:t xml:space="preserve">la </w:t>
      </w:r>
      <w:r w:rsidRPr="0020749A">
        <w:rPr>
          <w:szCs w:val="22"/>
          <w:lang w:val="fr-FR"/>
        </w:rPr>
        <w:t xml:space="preserve">Croatie, </w:t>
      </w:r>
      <w:r w:rsidR="00D80673" w:rsidRPr="0020749A">
        <w:rPr>
          <w:szCs w:val="22"/>
          <w:lang w:val="fr-FR"/>
        </w:rPr>
        <w:t xml:space="preserve">la </w:t>
      </w:r>
      <w:r w:rsidRPr="0020749A">
        <w:rPr>
          <w:szCs w:val="22"/>
          <w:lang w:val="fr-FR"/>
        </w:rPr>
        <w:t xml:space="preserve">Hongrie, </w:t>
      </w:r>
      <w:r w:rsidR="00D80673" w:rsidRPr="0020749A">
        <w:rPr>
          <w:szCs w:val="22"/>
          <w:lang w:val="fr-FR"/>
        </w:rPr>
        <w:t>l’</w:t>
      </w:r>
      <w:r w:rsidRPr="0020749A">
        <w:rPr>
          <w:szCs w:val="22"/>
          <w:lang w:val="fr-FR"/>
        </w:rPr>
        <w:t xml:space="preserve">Italie, </w:t>
      </w:r>
      <w:r w:rsidR="00D80673" w:rsidRPr="0020749A">
        <w:rPr>
          <w:szCs w:val="22"/>
          <w:lang w:val="fr-FR"/>
        </w:rPr>
        <w:t xml:space="preserve">le </w:t>
      </w:r>
      <w:r w:rsidRPr="0020749A">
        <w:rPr>
          <w:szCs w:val="22"/>
          <w:lang w:val="fr-FR"/>
        </w:rPr>
        <w:t xml:space="preserve">Portugal, </w:t>
      </w:r>
      <w:r w:rsidR="00D80673" w:rsidRPr="0020749A">
        <w:rPr>
          <w:szCs w:val="22"/>
          <w:lang w:val="fr-FR"/>
        </w:rPr>
        <w:t xml:space="preserve">la </w:t>
      </w:r>
      <w:r w:rsidRPr="0020749A">
        <w:rPr>
          <w:szCs w:val="22"/>
          <w:lang w:val="fr-FR"/>
        </w:rPr>
        <w:t xml:space="preserve">Roumanie, </w:t>
      </w:r>
      <w:r w:rsidR="00D80673" w:rsidRPr="0020749A">
        <w:rPr>
          <w:szCs w:val="22"/>
          <w:lang w:val="fr-FR"/>
        </w:rPr>
        <w:t xml:space="preserve">la </w:t>
      </w:r>
      <w:r w:rsidRPr="0020749A">
        <w:rPr>
          <w:szCs w:val="22"/>
          <w:lang w:val="fr-FR"/>
        </w:rPr>
        <w:t>Slovénie</w:t>
      </w:r>
      <w:r w:rsidR="00D80673" w:rsidRPr="0020749A">
        <w:rPr>
          <w:szCs w:val="22"/>
          <w:lang w:val="fr-FR"/>
        </w:rPr>
        <w:t xml:space="preserve"> et la </w:t>
      </w:r>
      <w:r w:rsidRPr="0020749A">
        <w:rPr>
          <w:szCs w:val="22"/>
          <w:lang w:val="fr-FR"/>
        </w:rPr>
        <w:t>Slovaquie</w:t>
      </w:r>
      <w:r w:rsidR="00D80673" w:rsidRPr="0020749A">
        <w:rPr>
          <w:szCs w:val="22"/>
          <w:lang w:val="fr-FR"/>
        </w:rPr>
        <w:t xml:space="preserve"> n</w:t>
      </w:r>
      <w:r w:rsidRPr="0020749A">
        <w:rPr>
          <w:szCs w:val="22"/>
          <w:lang w:val="fr-FR"/>
        </w:rPr>
        <w:t>°</w:t>
      </w:r>
      <w:r w:rsidR="00D80673" w:rsidRPr="0020749A">
        <w:rPr>
          <w:szCs w:val="22"/>
          <w:lang w:val="fr-FR"/>
        </w:rPr>
        <w:t> </w:t>
      </w:r>
      <w:r w:rsidRPr="0020749A">
        <w:rPr>
          <w:szCs w:val="22"/>
          <w:lang w:val="fr-FR"/>
        </w:rPr>
        <w:t xml:space="preserve">4 861 72A </w:t>
      </w:r>
      <w:r w:rsidR="00D80673" w:rsidRPr="0020749A">
        <w:rPr>
          <w:noProof/>
          <w:szCs w:val="22"/>
        </w:rPr>
        <w:drawing>
          <wp:inline distT="0" distB="0" distL="0" distR="0" wp14:anchorId="12DF0D41" wp14:editId="13E1148F">
            <wp:extent cx="846207" cy="105776"/>
            <wp:effectExtent l="0" t="0" r="0" b="0"/>
            <wp:docPr id="1807646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46294" name=""/>
                    <pic:cNvPicPr/>
                  </pic:nvPicPr>
                  <pic:blipFill>
                    <a:blip r:embed="rId12"/>
                    <a:stretch>
                      <a:fillRect/>
                    </a:stretch>
                  </pic:blipFill>
                  <pic:spPr>
                    <a:xfrm>
                      <a:off x="0" y="0"/>
                      <a:ext cx="889838" cy="111230"/>
                    </a:xfrm>
                    <a:prstGeom prst="rect">
                      <a:avLst/>
                    </a:prstGeom>
                  </pic:spPr>
                </pic:pic>
              </a:graphicData>
            </a:graphic>
          </wp:inline>
        </w:drawing>
      </w:r>
      <w:r w:rsidR="00D80673" w:rsidRPr="0020749A">
        <w:rPr>
          <w:szCs w:val="22"/>
          <w:lang w:val="fr-FR"/>
        </w:rPr>
        <w:t xml:space="preserve"> (marque figurative)</w:t>
      </w:r>
      <w:r w:rsidRPr="0020749A">
        <w:rPr>
          <w:szCs w:val="22"/>
          <w:lang w:val="fr-FR"/>
        </w:rPr>
        <w:t>. L’opposante a invoqué l’article 8, paragraphe 1, point b), du RMUE</w:t>
      </w:r>
      <w:r w:rsidR="00D80673" w:rsidRPr="0020749A">
        <w:rPr>
          <w:szCs w:val="22"/>
          <w:lang w:val="fr-FR"/>
        </w:rPr>
        <w:t xml:space="preserve"> en relation avec les trois marques antérieures</w:t>
      </w:r>
      <w:r w:rsidRPr="0020749A">
        <w:rPr>
          <w:szCs w:val="22"/>
          <w:lang w:val="fr-FR"/>
        </w:rPr>
        <w:t xml:space="preserve">, </w:t>
      </w:r>
      <w:r w:rsidR="00D80673" w:rsidRPr="0020749A">
        <w:rPr>
          <w:szCs w:val="22"/>
          <w:lang w:val="fr-FR"/>
        </w:rPr>
        <w:t xml:space="preserve">ainsi que </w:t>
      </w:r>
      <w:r w:rsidRPr="0020749A">
        <w:rPr>
          <w:szCs w:val="22"/>
          <w:lang w:val="fr-FR"/>
        </w:rPr>
        <w:t>l’article 8, paragraphe 5 du RMUE</w:t>
      </w:r>
      <w:r w:rsidR="00D80673" w:rsidRPr="0020749A">
        <w:rPr>
          <w:szCs w:val="22"/>
          <w:lang w:val="fr-FR"/>
        </w:rPr>
        <w:t xml:space="preserve"> en relation avec la première</w:t>
      </w:r>
      <w:r w:rsidRPr="0020749A">
        <w:rPr>
          <w:szCs w:val="22"/>
          <w:lang w:val="fr-FR"/>
        </w:rPr>
        <w:t>.</w:t>
      </w:r>
    </w:p>
    <w:p w14:paraId="0A03385C" w14:textId="0DD35BD4" w:rsidR="000C6FCC" w:rsidRPr="0020749A" w:rsidRDefault="009F0151" w:rsidP="00457366">
      <w:pPr>
        <w:jc w:val="both"/>
        <w:rPr>
          <w:szCs w:val="22"/>
          <w:lang w:val="fr-FR"/>
        </w:rPr>
      </w:pPr>
      <w:r w:rsidRPr="0020749A">
        <w:rPr>
          <w:szCs w:val="22"/>
          <w:lang w:val="fr-FR"/>
        </w:rPr>
        <w:t> </w:t>
      </w:r>
    </w:p>
    <w:p w14:paraId="3AEC6889" w14:textId="77777777" w:rsidR="00D80673" w:rsidRPr="0020749A" w:rsidRDefault="00D80673" w:rsidP="00457366">
      <w:pPr>
        <w:jc w:val="both"/>
        <w:rPr>
          <w:b/>
          <w:szCs w:val="22"/>
          <w:lang w:val="fr-FR"/>
        </w:rPr>
      </w:pPr>
      <w:bookmarkStart w:id="5" w:name="chk-paragraph-9-3_nodeId--1128870563"/>
      <w:bookmarkEnd w:id="4"/>
    </w:p>
    <w:p w14:paraId="0A033866" w14:textId="5E60FCA2" w:rsidR="000C6FCC" w:rsidRPr="0020749A" w:rsidRDefault="009F0151" w:rsidP="00457366">
      <w:pPr>
        <w:jc w:val="both"/>
        <w:rPr>
          <w:szCs w:val="22"/>
          <w:lang w:val="fr-FR"/>
        </w:rPr>
      </w:pPr>
      <w:r w:rsidRPr="0020749A">
        <w:rPr>
          <w:b/>
          <w:szCs w:val="22"/>
          <w:lang w:val="fr-FR"/>
        </w:rPr>
        <w:t>RISQUE DE CONFUSION – ARTICLE 8, PARAGRAPHE 1, POINT b), DU RMUE</w:t>
      </w:r>
    </w:p>
    <w:p w14:paraId="0A033867" w14:textId="355EBF5D" w:rsidR="000C6FCC" w:rsidRPr="0020749A" w:rsidRDefault="009F0151" w:rsidP="00457366">
      <w:pPr>
        <w:jc w:val="both"/>
        <w:rPr>
          <w:szCs w:val="22"/>
          <w:lang w:val="fr-FR"/>
        </w:rPr>
      </w:pPr>
      <w:r w:rsidRPr="0020749A">
        <w:rPr>
          <w:szCs w:val="22"/>
          <w:lang w:val="fr-FR"/>
        </w:rPr>
        <w:t> </w:t>
      </w:r>
    </w:p>
    <w:p w14:paraId="0A03386A" w14:textId="7575591E" w:rsidR="000C6FCC" w:rsidRPr="0020749A" w:rsidRDefault="009F0151" w:rsidP="00457366">
      <w:pPr>
        <w:jc w:val="both"/>
        <w:rPr>
          <w:szCs w:val="22"/>
          <w:lang w:val="fr-FR"/>
        </w:rPr>
      </w:pPr>
      <w:r w:rsidRPr="0020749A">
        <w:rPr>
          <w:szCs w:val="22"/>
          <w:lang w:val="fr-FR"/>
        </w:rPr>
        <w:t>Conformément à l'article 8, paragraphe 1, point b) du RMUE, le</w:t>
      </w:r>
      <w:r w:rsidR="0020749A" w:rsidRPr="0020749A">
        <w:rPr>
          <w:szCs w:val="22"/>
          <w:lang w:val="fr-FR"/>
        </w:rPr>
        <w:t xml:space="preserve"> </w:t>
      </w:r>
      <w:r w:rsidRPr="0020749A">
        <w:rPr>
          <w:szCs w:val="22"/>
          <w:lang w:val="fr-FR"/>
        </w:rPr>
        <w:t xml:space="preserve">risque de confusion est le risque que le public puisse croire que les produits ou les services en cause, à condition de porter les marques en cause, proviennent de la même entreprise ou, le cas échéant, d’entreprises liées économiquement. L’existence d’un risque de confusion doit être appréciée globalement en tenant compte de plusieurs facteurs interdépendants. Ces facteurs incluent la similitude des signes, la similitude des produits et services, le caractère </w:t>
      </w:r>
      <w:r w:rsidRPr="0020749A">
        <w:rPr>
          <w:szCs w:val="22"/>
          <w:lang w:val="fr-FR"/>
        </w:rPr>
        <w:lastRenderedPageBreak/>
        <w:t>distinctif de la marque antérieure, les éléments distinctifs et dominants des signes en litige et le public pertinent.</w:t>
      </w:r>
    </w:p>
    <w:p w14:paraId="0A03386B" w14:textId="4CC753A3" w:rsidR="000C6FCC" w:rsidRPr="0020749A" w:rsidRDefault="009F0151" w:rsidP="00457366">
      <w:pPr>
        <w:jc w:val="both"/>
        <w:rPr>
          <w:szCs w:val="22"/>
          <w:lang w:val="fr-FR"/>
        </w:rPr>
      </w:pPr>
      <w:r w:rsidRPr="0020749A">
        <w:rPr>
          <w:szCs w:val="22"/>
          <w:lang w:val="fr-FR"/>
        </w:rPr>
        <w:t> </w:t>
      </w:r>
    </w:p>
    <w:p w14:paraId="0A033870" w14:textId="4543F450" w:rsidR="000C6FCC" w:rsidRPr="0020749A" w:rsidRDefault="009F0151" w:rsidP="00457366">
      <w:pPr>
        <w:jc w:val="both"/>
        <w:rPr>
          <w:szCs w:val="22"/>
          <w:lang w:val="fr-FR"/>
        </w:rPr>
      </w:pPr>
      <w:r w:rsidRPr="0020749A">
        <w:rPr>
          <w:szCs w:val="22"/>
          <w:lang w:val="fr-FR"/>
        </w:rPr>
        <w:t xml:space="preserve">L’opposition est fondée sur plus d’une marque antérieure. La division d’opposition estime qu’il y a lieu d’examiner d’abord l’opposition par rapport à </w:t>
      </w:r>
      <w:r w:rsidR="00F358CF" w:rsidRPr="0020749A">
        <w:rPr>
          <w:szCs w:val="22"/>
          <w:lang w:val="fr-FR"/>
        </w:rPr>
        <w:t>l’</w:t>
      </w:r>
      <w:r w:rsidRPr="0020749A">
        <w:rPr>
          <w:szCs w:val="22"/>
          <w:lang w:val="fr-FR"/>
        </w:rPr>
        <w:t>enregistrement de marque de l’Union européenne n° 13 207 097</w:t>
      </w:r>
      <w:r w:rsidR="00F358CF" w:rsidRPr="0020749A">
        <w:rPr>
          <w:szCs w:val="22"/>
          <w:lang w:val="fr-FR"/>
        </w:rPr>
        <w:t>.</w:t>
      </w:r>
      <w:r w:rsidRPr="0020749A">
        <w:rPr>
          <w:szCs w:val="22"/>
          <w:lang w:val="fr-FR"/>
        </w:rPr>
        <w:t xml:space="preserve"> </w:t>
      </w:r>
    </w:p>
    <w:p w14:paraId="0A033871" w14:textId="77777777" w:rsidR="000C6FCC" w:rsidRPr="0020749A" w:rsidRDefault="000C6FCC" w:rsidP="00457366">
      <w:pPr>
        <w:jc w:val="both"/>
        <w:rPr>
          <w:szCs w:val="22"/>
          <w:lang w:val="fr-FR"/>
        </w:rPr>
      </w:pPr>
    </w:p>
    <w:p w14:paraId="0A033873" w14:textId="39BD4104" w:rsidR="000C6FCC" w:rsidRPr="0020749A" w:rsidRDefault="009F0151" w:rsidP="00457366">
      <w:pPr>
        <w:jc w:val="both"/>
        <w:rPr>
          <w:szCs w:val="22"/>
          <w:lang w:val="fr-FR"/>
        </w:rPr>
      </w:pPr>
      <w:r w:rsidRPr="0020749A">
        <w:rPr>
          <w:szCs w:val="22"/>
          <w:lang w:val="fr-FR"/>
        </w:rPr>
        <w:t> </w:t>
      </w:r>
    </w:p>
    <w:p w14:paraId="0A033874" w14:textId="1303A998" w:rsidR="000C6FCC" w:rsidRPr="0020749A" w:rsidRDefault="009F0151" w:rsidP="00457366">
      <w:pPr>
        <w:jc w:val="both"/>
        <w:rPr>
          <w:szCs w:val="22"/>
          <w:lang w:val="fr-FR"/>
        </w:rPr>
      </w:pPr>
      <w:bookmarkStart w:id="6" w:name="chk-paragraph-9-3-1_nodeId-537559823"/>
      <w:bookmarkEnd w:id="5"/>
      <w:r w:rsidRPr="0020749A">
        <w:rPr>
          <w:b/>
          <w:szCs w:val="22"/>
          <w:lang w:val="fr-FR"/>
        </w:rPr>
        <w:t>a) Les</w:t>
      </w:r>
      <w:r w:rsidR="00D80673" w:rsidRPr="0020749A">
        <w:rPr>
          <w:b/>
          <w:szCs w:val="22"/>
          <w:lang w:val="fr-FR"/>
        </w:rPr>
        <w:t xml:space="preserve"> </w:t>
      </w:r>
      <w:r w:rsidRPr="0020749A">
        <w:rPr>
          <w:b/>
          <w:szCs w:val="22"/>
          <w:lang w:val="fr-FR"/>
        </w:rPr>
        <w:t>produits</w:t>
      </w:r>
    </w:p>
    <w:p w14:paraId="0A033875" w14:textId="7C28F8D6" w:rsidR="000C6FCC" w:rsidRPr="0020749A" w:rsidRDefault="009F0151" w:rsidP="00457366">
      <w:pPr>
        <w:jc w:val="both"/>
        <w:rPr>
          <w:szCs w:val="22"/>
          <w:lang w:val="fr-FR"/>
        </w:rPr>
      </w:pPr>
      <w:r w:rsidRPr="0020749A">
        <w:rPr>
          <w:szCs w:val="22"/>
          <w:lang w:val="fr-FR"/>
        </w:rPr>
        <w:t> </w:t>
      </w:r>
    </w:p>
    <w:p w14:paraId="0A033876" w14:textId="4DA620D9" w:rsidR="000C6FCC" w:rsidRPr="0020749A" w:rsidRDefault="009F0151" w:rsidP="00457366">
      <w:pPr>
        <w:jc w:val="both"/>
        <w:rPr>
          <w:szCs w:val="22"/>
          <w:lang w:val="fr-FR"/>
        </w:rPr>
      </w:pPr>
      <w:r w:rsidRPr="0020749A">
        <w:rPr>
          <w:szCs w:val="22"/>
          <w:lang w:val="fr-FR"/>
        </w:rPr>
        <w:t>Les</w:t>
      </w:r>
      <w:r w:rsidR="00D80673" w:rsidRPr="0020749A">
        <w:rPr>
          <w:szCs w:val="22"/>
          <w:lang w:val="fr-FR"/>
        </w:rPr>
        <w:t xml:space="preserve"> </w:t>
      </w:r>
      <w:r w:rsidRPr="0020749A">
        <w:rPr>
          <w:szCs w:val="22"/>
          <w:lang w:val="fr-FR"/>
        </w:rPr>
        <w:t>produits</w:t>
      </w:r>
      <w:r w:rsidR="00D80673" w:rsidRPr="0020749A">
        <w:rPr>
          <w:szCs w:val="22"/>
          <w:lang w:val="fr-FR"/>
        </w:rPr>
        <w:t xml:space="preserve"> </w:t>
      </w:r>
      <w:r w:rsidRPr="0020749A">
        <w:rPr>
          <w:szCs w:val="22"/>
          <w:lang w:val="fr-FR"/>
        </w:rPr>
        <w:t xml:space="preserve">sur lesquels est fondée l’opposition </w:t>
      </w:r>
      <w:proofErr w:type="gramStart"/>
      <w:r w:rsidRPr="0020749A">
        <w:rPr>
          <w:szCs w:val="22"/>
          <w:lang w:val="fr-FR"/>
        </w:rPr>
        <w:t>sont:</w:t>
      </w:r>
      <w:proofErr w:type="gramEnd"/>
    </w:p>
    <w:p w14:paraId="0A033877" w14:textId="6DFFDE98" w:rsidR="000C6FCC" w:rsidRPr="0020749A" w:rsidRDefault="009F0151" w:rsidP="00457366">
      <w:pPr>
        <w:jc w:val="both"/>
        <w:rPr>
          <w:szCs w:val="22"/>
          <w:lang w:val="fr-FR"/>
        </w:rPr>
      </w:pPr>
      <w:r w:rsidRPr="0020749A">
        <w:rPr>
          <w:szCs w:val="22"/>
          <w:lang w:val="fr-FR"/>
        </w:rPr>
        <w:t> </w:t>
      </w:r>
    </w:p>
    <w:p w14:paraId="0A03387A" w14:textId="4BF43D65" w:rsidR="000C6FCC" w:rsidRPr="0020749A" w:rsidRDefault="009F0151" w:rsidP="00457366">
      <w:pPr>
        <w:jc w:val="both"/>
        <w:rPr>
          <w:szCs w:val="22"/>
          <w:lang w:val="fr-FR"/>
        </w:rPr>
      </w:pPr>
      <w:r w:rsidRPr="0020749A">
        <w:rPr>
          <w:szCs w:val="22"/>
          <w:lang w:val="fr-FR"/>
        </w:rPr>
        <w:t xml:space="preserve">Classe </w:t>
      </w:r>
      <w:proofErr w:type="gramStart"/>
      <w:r w:rsidRPr="0020749A">
        <w:rPr>
          <w:szCs w:val="22"/>
          <w:lang w:val="fr-FR"/>
        </w:rPr>
        <w:t>3:</w:t>
      </w:r>
      <w:proofErr w:type="gramEnd"/>
      <w:r w:rsidRPr="0020749A">
        <w:rPr>
          <w:szCs w:val="22"/>
          <w:lang w:val="fr-FR"/>
        </w:rPr>
        <w:t xml:space="preserve"> </w:t>
      </w:r>
      <w:r w:rsidR="00F358CF" w:rsidRPr="0020749A">
        <w:rPr>
          <w:i/>
          <w:szCs w:val="22"/>
          <w:lang w:val="fr-FR"/>
        </w:rPr>
        <w:t>P</w:t>
      </w:r>
      <w:r w:rsidRPr="0020749A">
        <w:rPr>
          <w:i/>
          <w:szCs w:val="22"/>
          <w:lang w:val="fr-FR"/>
        </w:rPr>
        <w:t>arfumerie</w:t>
      </w:r>
      <w:r w:rsidR="002D1057" w:rsidRPr="0020749A">
        <w:rPr>
          <w:i/>
          <w:szCs w:val="22"/>
          <w:lang w:val="fr-FR"/>
        </w:rPr>
        <w:t>.</w:t>
      </w:r>
    </w:p>
    <w:p w14:paraId="34850769" w14:textId="77777777" w:rsidR="00F358CF" w:rsidRPr="0020749A" w:rsidRDefault="00F358CF" w:rsidP="00457366">
      <w:pPr>
        <w:jc w:val="both"/>
        <w:rPr>
          <w:szCs w:val="22"/>
          <w:lang w:val="fr-FR"/>
        </w:rPr>
      </w:pPr>
    </w:p>
    <w:p w14:paraId="0A03387B" w14:textId="29866731" w:rsidR="000C6FCC" w:rsidRPr="0020749A" w:rsidRDefault="009F0151" w:rsidP="00457366">
      <w:pPr>
        <w:jc w:val="both"/>
        <w:rPr>
          <w:szCs w:val="22"/>
          <w:lang w:val="fr-FR"/>
        </w:rPr>
      </w:pPr>
      <w:r w:rsidRPr="0020749A">
        <w:rPr>
          <w:szCs w:val="22"/>
          <w:lang w:val="fr-FR"/>
        </w:rPr>
        <w:t xml:space="preserve">Classe </w:t>
      </w:r>
      <w:proofErr w:type="gramStart"/>
      <w:r w:rsidRPr="0020749A">
        <w:rPr>
          <w:szCs w:val="22"/>
          <w:lang w:val="fr-FR"/>
        </w:rPr>
        <w:t>14:</w:t>
      </w:r>
      <w:proofErr w:type="gramEnd"/>
      <w:r w:rsidRPr="0020749A">
        <w:rPr>
          <w:szCs w:val="22"/>
          <w:lang w:val="fr-FR"/>
        </w:rPr>
        <w:t xml:space="preserve"> </w:t>
      </w:r>
      <w:proofErr w:type="gramStart"/>
      <w:r w:rsidR="00F358CF" w:rsidRPr="0020749A">
        <w:rPr>
          <w:i/>
          <w:szCs w:val="22"/>
          <w:lang w:val="fr-FR"/>
        </w:rPr>
        <w:t>J</w:t>
      </w:r>
      <w:r w:rsidRPr="0020749A">
        <w:rPr>
          <w:i/>
          <w:szCs w:val="22"/>
          <w:lang w:val="fr-FR"/>
        </w:rPr>
        <w:t>oaillerie;</w:t>
      </w:r>
      <w:proofErr w:type="gramEnd"/>
      <w:r w:rsidRPr="0020749A">
        <w:rPr>
          <w:i/>
          <w:szCs w:val="22"/>
          <w:lang w:val="fr-FR"/>
        </w:rPr>
        <w:t xml:space="preserve"> </w:t>
      </w:r>
      <w:proofErr w:type="gramStart"/>
      <w:r w:rsidRPr="0020749A">
        <w:rPr>
          <w:i/>
          <w:szCs w:val="22"/>
          <w:lang w:val="fr-FR"/>
        </w:rPr>
        <w:t>bijouterie;</w:t>
      </w:r>
      <w:proofErr w:type="gramEnd"/>
      <w:r w:rsidRPr="0020749A">
        <w:rPr>
          <w:i/>
          <w:szCs w:val="22"/>
          <w:lang w:val="fr-FR"/>
        </w:rPr>
        <w:t xml:space="preserve"> </w:t>
      </w:r>
      <w:proofErr w:type="gramStart"/>
      <w:r w:rsidRPr="0020749A">
        <w:rPr>
          <w:i/>
          <w:szCs w:val="22"/>
          <w:lang w:val="fr-FR"/>
        </w:rPr>
        <w:t>bagues;</w:t>
      </w:r>
      <w:proofErr w:type="gramEnd"/>
      <w:r w:rsidRPr="0020749A">
        <w:rPr>
          <w:i/>
          <w:szCs w:val="22"/>
          <w:lang w:val="fr-FR"/>
        </w:rPr>
        <w:t xml:space="preserve"> </w:t>
      </w:r>
      <w:proofErr w:type="gramStart"/>
      <w:r w:rsidRPr="0020749A">
        <w:rPr>
          <w:i/>
          <w:szCs w:val="22"/>
          <w:lang w:val="fr-FR"/>
        </w:rPr>
        <w:t>bracelets;</w:t>
      </w:r>
      <w:proofErr w:type="gramEnd"/>
      <w:r w:rsidRPr="0020749A">
        <w:rPr>
          <w:i/>
          <w:szCs w:val="22"/>
          <w:lang w:val="fr-FR"/>
        </w:rPr>
        <w:t xml:space="preserve"> boucles </w:t>
      </w:r>
      <w:proofErr w:type="gramStart"/>
      <w:r w:rsidRPr="0020749A">
        <w:rPr>
          <w:i/>
          <w:szCs w:val="22"/>
          <w:lang w:val="fr-FR"/>
        </w:rPr>
        <w:t>d'oreilles;</w:t>
      </w:r>
      <w:proofErr w:type="gramEnd"/>
      <w:r w:rsidRPr="0020749A">
        <w:rPr>
          <w:i/>
          <w:szCs w:val="22"/>
          <w:lang w:val="fr-FR"/>
        </w:rPr>
        <w:t xml:space="preserve"> </w:t>
      </w:r>
      <w:proofErr w:type="gramStart"/>
      <w:r w:rsidRPr="0020749A">
        <w:rPr>
          <w:i/>
          <w:szCs w:val="22"/>
          <w:lang w:val="fr-FR"/>
        </w:rPr>
        <w:t>colliers;</w:t>
      </w:r>
      <w:proofErr w:type="gramEnd"/>
      <w:r w:rsidRPr="0020749A">
        <w:rPr>
          <w:i/>
          <w:szCs w:val="22"/>
          <w:lang w:val="fr-FR"/>
        </w:rPr>
        <w:t xml:space="preserve"> broches</w:t>
      </w:r>
      <w:r w:rsidR="002D1057" w:rsidRPr="0020749A">
        <w:rPr>
          <w:i/>
          <w:szCs w:val="22"/>
          <w:lang w:val="fr-FR"/>
        </w:rPr>
        <w:t>.</w:t>
      </w:r>
      <w:r w:rsidRPr="0020749A">
        <w:rPr>
          <w:i/>
          <w:szCs w:val="22"/>
          <w:lang w:val="fr-FR"/>
        </w:rPr>
        <w:t> </w:t>
      </w:r>
    </w:p>
    <w:p w14:paraId="0A033882" w14:textId="77777777" w:rsidR="000C6FCC" w:rsidRPr="0020749A" w:rsidRDefault="000C6FCC" w:rsidP="00457366">
      <w:pPr>
        <w:rPr>
          <w:szCs w:val="22"/>
          <w:lang w:val="fr-FR"/>
        </w:rPr>
      </w:pPr>
    </w:p>
    <w:p w14:paraId="0A033884" w14:textId="130AF506" w:rsidR="000C6FCC" w:rsidRPr="0020749A" w:rsidRDefault="009F0151" w:rsidP="00457366">
      <w:pPr>
        <w:jc w:val="both"/>
        <w:rPr>
          <w:szCs w:val="22"/>
          <w:lang w:val="fr-FR"/>
        </w:rPr>
      </w:pPr>
      <w:r w:rsidRPr="0020749A">
        <w:rPr>
          <w:szCs w:val="22"/>
          <w:lang w:val="fr-FR"/>
        </w:rPr>
        <w:t>Les</w:t>
      </w:r>
      <w:r w:rsidR="00F358CF" w:rsidRPr="0020749A">
        <w:rPr>
          <w:szCs w:val="22"/>
          <w:lang w:val="fr-FR"/>
        </w:rPr>
        <w:t xml:space="preserve"> </w:t>
      </w:r>
      <w:r w:rsidRPr="0020749A">
        <w:rPr>
          <w:szCs w:val="22"/>
          <w:lang w:val="fr-FR"/>
        </w:rPr>
        <w:t>produits</w:t>
      </w:r>
      <w:r w:rsidR="00F358CF" w:rsidRPr="0020749A">
        <w:rPr>
          <w:szCs w:val="22"/>
          <w:lang w:val="fr-FR"/>
        </w:rPr>
        <w:t xml:space="preserve"> </w:t>
      </w:r>
      <w:r w:rsidRPr="0020749A">
        <w:rPr>
          <w:szCs w:val="22"/>
          <w:lang w:val="fr-FR"/>
        </w:rPr>
        <w:t xml:space="preserve">contestés sont les </w:t>
      </w:r>
      <w:proofErr w:type="gramStart"/>
      <w:r w:rsidRPr="0020749A">
        <w:rPr>
          <w:szCs w:val="22"/>
          <w:lang w:val="fr-FR"/>
        </w:rPr>
        <w:t>suivants:</w:t>
      </w:r>
      <w:proofErr w:type="gramEnd"/>
    </w:p>
    <w:p w14:paraId="0A033886" w14:textId="1D6A3BBA" w:rsidR="000C6FCC" w:rsidRPr="0020749A" w:rsidRDefault="009F0151" w:rsidP="00457366">
      <w:pPr>
        <w:jc w:val="both"/>
        <w:rPr>
          <w:szCs w:val="22"/>
          <w:lang w:val="fr-FR"/>
        </w:rPr>
      </w:pPr>
      <w:r w:rsidRPr="0020749A">
        <w:rPr>
          <w:szCs w:val="22"/>
          <w:lang w:val="fr-FR"/>
        </w:rPr>
        <w:t> </w:t>
      </w:r>
    </w:p>
    <w:p w14:paraId="0A033887" w14:textId="77777777" w:rsidR="000C6FCC" w:rsidRPr="0020749A" w:rsidRDefault="009F0151" w:rsidP="00457366">
      <w:pPr>
        <w:rPr>
          <w:szCs w:val="22"/>
          <w:lang w:val="fr-FR"/>
        </w:rPr>
      </w:pPr>
      <w:r w:rsidRPr="0020749A">
        <w:rPr>
          <w:szCs w:val="22"/>
          <w:lang w:val="fr-FR"/>
        </w:rPr>
        <w:t xml:space="preserve">Classe </w:t>
      </w:r>
      <w:proofErr w:type="gramStart"/>
      <w:r w:rsidRPr="0020749A">
        <w:rPr>
          <w:szCs w:val="22"/>
          <w:lang w:val="fr-FR"/>
        </w:rPr>
        <w:t>3:</w:t>
      </w:r>
      <w:proofErr w:type="gramEnd"/>
      <w:r w:rsidRPr="0020749A">
        <w:rPr>
          <w:szCs w:val="22"/>
          <w:lang w:val="fr-FR"/>
        </w:rPr>
        <w:t xml:space="preserve"> </w:t>
      </w:r>
      <w:r w:rsidRPr="0020749A">
        <w:rPr>
          <w:i/>
          <w:szCs w:val="22"/>
          <w:lang w:val="fr-FR"/>
        </w:rPr>
        <w:t>Cosmétiques.</w:t>
      </w:r>
    </w:p>
    <w:p w14:paraId="0A033888" w14:textId="77777777" w:rsidR="000C6FCC" w:rsidRPr="0020749A" w:rsidRDefault="000C6FCC" w:rsidP="00457366">
      <w:pPr>
        <w:rPr>
          <w:szCs w:val="22"/>
          <w:lang w:val="fr-FR"/>
        </w:rPr>
      </w:pPr>
    </w:p>
    <w:p w14:paraId="0A0338AD" w14:textId="77777777" w:rsidR="000C6FCC" w:rsidRPr="0020749A" w:rsidRDefault="009F0151" w:rsidP="00457366">
      <w:pPr>
        <w:jc w:val="both"/>
        <w:rPr>
          <w:szCs w:val="22"/>
          <w:lang w:val="fr-FR"/>
        </w:rPr>
      </w:pPr>
      <w:bookmarkStart w:id="7" w:name="chk-paragraph-9-3-1-4_nodeId-2106898293"/>
      <w:bookmarkEnd w:id="6"/>
      <w:r w:rsidRPr="0020749A">
        <w:rPr>
          <w:szCs w:val="22"/>
          <w:lang w:val="fr-FR"/>
        </w:rPr>
        <w:t>Les facteurs pertinents concernant la comparaison des produits ou services incluent, en particulier, leur nature et leur destination, leurs canaux de distribution, leurs points de vente, leur producteurs, leur utilisation ainsi que leur caractère concurrent ou complémentaire.</w:t>
      </w:r>
    </w:p>
    <w:p w14:paraId="0A0338AE" w14:textId="0D8C0A62" w:rsidR="000C6FCC" w:rsidRPr="0020749A" w:rsidRDefault="009F0151" w:rsidP="00457366">
      <w:pPr>
        <w:jc w:val="both"/>
        <w:rPr>
          <w:szCs w:val="22"/>
          <w:lang w:val="fr-FR"/>
        </w:rPr>
      </w:pPr>
      <w:r w:rsidRPr="0020749A">
        <w:rPr>
          <w:szCs w:val="22"/>
          <w:lang w:val="fr-FR"/>
        </w:rPr>
        <w:t> </w:t>
      </w:r>
    </w:p>
    <w:p w14:paraId="4600D316" w14:textId="18A78A25" w:rsidR="0065454D" w:rsidRPr="0020749A" w:rsidRDefault="00F358CF" w:rsidP="00457366">
      <w:pPr>
        <w:jc w:val="both"/>
        <w:rPr>
          <w:szCs w:val="22"/>
          <w:lang w:val="fr-FR"/>
        </w:rPr>
      </w:pPr>
      <w:r w:rsidRPr="0020749A">
        <w:rPr>
          <w:szCs w:val="22"/>
          <w:lang w:val="fr-FR"/>
        </w:rPr>
        <w:t xml:space="preserve">Les </w:t>
      </w:r>
      <w:r w:rsidRPr="0020749A">
        <w:rPr>
          <w:i/>
          <w:iCs/>
          <w:szCs w:val="22"/>
          <w:lang w:val="fr-FR"/>
        </w:rPr>
        <w:t>cosmétiques</w:t>
      </w:r>
      <w:r w:rsidRPr="0020749A">
        <w:rPr>
          <w:szCs w:val="22"/>
          <w:lang w:val="fr-FR"/>
        </w:rPr>
        <w:t xml:space="preserve"> contestés sont </w:t>
      </w:r>
      <w:r w:rsidRPr="0020749A">
        <w:rPr>
          <w:szCs w:val="22"/>
          <w:u w:val="single"/>
          <w:lang w:val="fr-FR"/>
        </w:rPr>
        <w:t>similaires</w:t>
      </w:r>
      <w:r w:rsidRPr="0020749A">
        <w:rPr>
          <w:szCs w:val="22"/>
          <w:lang w:val="fr-FR"/>
        </w:rPr>
        <w:t xml:space="preserve"> aux produits de </w:t>
      </w:r>
      <w:r w:rsidRPr="0020749A">
        <w:rPr>
          <w:i/>
          <w:iCs/>
          <w:szCs w:val="22"/>
          <w:lang w:val="fr-FR"/>
        </w:rPr>
        <w:t>parfumerie</w:t>
      </w:r>
      <w:r w:rsidRPr="0020749A">
        <w:rPr>
          <w:szCs w:val="22"/>
          <w:lang w:val="fr-FR"/>
        </w:rPr>
        <w:t xml:space="preserve"> de l’opposante en ce qu’il s’agit de produits pouvant coïncider en leurs producteurs et qui s’adressent au même public auquel ils sont vendus par le bais des mêmes canaux de vente. De plus, ils ont la même destination en ce qu’ils </w:t>
      </w:r>
      <w:r w:rsidR="0065454D" w:rsidRPr="0020749A">
        <w:rPr>
          <w:szCs w:val="22"/>
          <w:lang w:val="fr-FR"/>
        </w:rPr>
        <w:t>confèrent une odeur agréable au corps ou servent à éliminer les odeurs corporelles désagréables.</w:t>
      </w:r>
    </w:p>
    <w:p w14:paraId="536B0AC4" w14:textId="77777777" w:rsidR="0065454D" w:rsidRPr="0020749A" w:rsidRDefault="0065454D" w:rsidP="00457366">
      <w:pPr>
        <w:jc w:val="both"/>
        <w:rPr>
          <w:szCs w:val="22"/>
          <w:lang w:val="fr-FR"/>
        </w:rPr>
      </w:pPr>
    </w:p>
    <w:p w14:paraId="20B2FC4B" w14:textId="77777777" w:rsidR="00305D46" w:rsidRPr="0020749A" w:rsidRDefault="00305D46" w:rsidP="00457366">
      <w:pPr>
        <w:jc w:val="both"/>
        <w:rPr>
          <w:szCs w:val="22"/>
          <w:lang w:val="fr-FR"/>
        </w:rPr>
      </w:pPr>
    </w:p>
    <w:p w14:paraId="0A0338C5" w14:textId="77777777" w:rsidR="000C6FCC" w:rsidRPr="0020749A" w:rsidRDefault="009F0151" w:rsidP="00457366">
      <w:pPr>
        <w:jc w:val="both"/>
        <w:rPr>
          <w:szCs w:val="22"/>
          <w:lang w:val="fr-FR"/>
        </w:rPr>
      </w:pPr>
      <w:bookmarkStart w:id="8" w:name="chk-paragraph-9-3-2_nodeId-870269841"/>
      <w:bookmarkEnd w:id="7"/>
      <w:r w:rsidRPr="0020749A">
        <w:rPr>
          <w:b/>
          <w:szCs w:val="22"/>
          <w:lang w:val="fr-FR"/>
        </w:rPr>
        <w:t>b) Public pertinent – niveau d’attention</w:t>
      </w:r>
    </w:p>
    <w:p w14:paraId="0A0338C6" w14:textId="016F3D6A" w:rsidR="000C6FCC" w:rsidRPr="0020749A" w:rsidRDefault="009F0151" w:rsidP="00457366">
      <w:pPr>
        <w:jc w:val="both"/>
        <w:rPr>
          <w:szCs w:val="22"/>
          <w:lang w:val="fr-FR"/>
        </w:rPr>
      </w:pPr>
      <w:r w:rsidRPr="0020749A">
        <w:rPr>
          <w:b/>
          <w:szCs w:val="22"/>
          <w:lang w:val="fr-FR"/>
        </w:rPr>
        <w:t> </w:t>
      </w:r>
    </w:p>
    <w:p w14:paraId="0A0338C9" w14:textId="77777777" w:rsidR="000C6FCC" w:rsidRPr="0020749A" w:rsidRDefault="009F0151" w:rsidP="00457366">
      <w:pPr>
        <w:jc w:val="both"/>
        <w:rPr>
          <w:szCs w:val="22"/>
          <w:lang w:val="fr-FR"/>
        </w:rPr>
      </w:pPr>
      <w:r w:rsidRPr="0020749A">
        <w:rPr>
          <w:szCs w:val="22"/>
          <w:lang w:val="fr-FR"/>
        </w:rPr>
        <w:t>Le consommateur moyen de la catégorie de produits concernée est censé être normalement informé et raisonnablement attentif et avisé. Il y a lieu également de prendre en considération le fait que le niveau d’attention du consommateur moyen est susceptible de varier en fonction de la catégorie de produits ou services en cause.</w:t>
      </w:r>
    </w:p>
    <w:p w14:paraId="0A0338CA" w14:textId="7762EC16" w:rsidR="000C6FCC" w:rsidRPr="0020749A" w:rsidRDefault="009F0151" w:rsidP="00457366">
      <w:pPr>
        <w:jc w:val="both"/>
        <w:rPr>
          <w:szCs w:val="22"/>
          <w:lang w:val="fr-FR"/>
        </w:rPr>
      </w:pPr>
      <w:r w:rsidRPr="0020749A">
        <w:rPr>
          <w:szCs w:val="22"/>
          <w:lang w:val="fr-FR"/>
        </w:rPr>
        <w:t> </w:t>
      </w:r>
    </w:p>
    <w:p w14:paraId="0A0338D3" w14:textId="4391C556" w:rsidR="000C6FCC" w:rsidRPr="0020749A" w:rsidRDefault="009F0151" w:rsidP="00457366">
      <w:pPr>
        <w:jc w:val="both"/>
        <w:rPr>
          <w:szCs w:val="22"/>
          <w:lang w:val="fr-FR"/>
        </w:rPr>
      </w:pPr>
      <w:r w:rsidRPr="0020749A">
        <w:rPr>
          <w:szCs w:val="22"/>
          <w:lang w:val="fr-FR"/>
        </w:rPr>
        <w:t>En l’espèce, les</w:t>
      </w:r>
      <w:r w:rsidR="0065454D" w:rsidRPr="0020749A">
        <w:rPr>
          <w:szCs w:val="22"/>
          <w:lang w:val="fr-FR"/>
        </w:rPr>
        <w:t xml:space="preserve"> </w:t>
      </w:r>
      <w:r w:rsidRPr="0020749A">
        <w:rPr>
          <w:szCs w:val="22"/>
          <w:lang w:val="fr-FR"/>
        </w:rPr>
        <w:t>produits</w:t>
      </w:r>
      <w:r w:rsidR="0065454D" w:rsidRPr="0020749A">
        <w:rPr>
          <w:szCs w:val="22"/>
          <w:lang w:val="fr-FR"/>
        </w:rPr>
        <w:t xml:space="preserve"> </w:t>
      </w:r>
      <w:r w:rsidRPr="0020749A">
        <w:rPr>
          <w:szCs w:val="22"/>
          <w:lang w:val="fr-FR"/>
        </w:rPr>
        <w:t>jugés</w:t>
      </w:r>
      <w:r w:rsidR="0065454D" w:rsidRPr="0020749A">
        <w:rPr>
          <w:szCs w:val="22"/>
          <w:lang w:val="fr-FR"/>
        </w:rPr>
        <w:t xml:space="preserve"> </w:t>
      </w:r>
      <w:r w:rsidRPr="0020749A">
        <w:rPr>
          <w:szCs w:val="22"/>
          <w:lang w:val="fr-FR"/>
        </w:rPr>
        <w:t>similaires</w:t>
      </w:r>
      <w:r w:rsidR="0065454D" w:rsidRPr="0020749A">
        <w:rPr>
          <w:szCs w:val="22"/>
          <w:lang w:val="fr-FR"/>
        </w:rPr>
        <w:t xml:space="preserve"> </w:t>
      </w:r>
      <w:r w:rsidRPr="0020749A">
        <w:rPr>
          <w:szCs w:val="22"/>
          <w:lang w:val="fr-FR"/>
        </w:rPr>
        <w:t>s’adressent</w:t>
      </w:r>
      <w:r w:rsidR="0065454D" w:rsidRPr="0020749A">
        <w:rPr>
          <w:szCs w:val="22"/>
          <w:lang w:val="fr-FR"/>
        </w:rPr>
        <w:t xml:space="preserve"> </w:t>
      </w:r>
      <w:r w:rsidRPr="0020749A">
        <w:rPr>
          <w:szCs w:val="22"/>
          <w:lang w:val="fr-FR"/>
        </w:rPr>
        <w:t>au grand public</w:t>
      </w:r>
      <w:r w:rsidR="0065454D" w:rsidRPr="0020749A">
        <w:rPr>
          <w:szCs w:val="22"/>
          <w:lang w:val="fr-FR"/>
        </w:rPr>
        <w:t xml:space="preserve"> et le </w:t>
      </w:r>
      <w:r w:rsidRPr="0020749A">
        <w:rPr>
          <w:szCs w:val="22"/>
          <w:lang w:val="fr-FR"/>
        </w:rPr>
        <w:t>niveau d’attention</w:t>
      </w:r>
      <w:r w:rsidR="0065454D" w:rsidRPr="0020749A">
        <w:rPr>
          <w:szCs w:val="22"/>
          <w:lang w:val="fr-FR"/>
        </w:rPr>
        <w:t xml:space="preserve"> est moyen</w:t>
      </w:r>
      <w:bookmarkStart w:id="9" w:name="chk-paragraph-9-3-2-1_nodeId-742969198"/>
      <w:bookmarkEnd w:id="8"/>
      <w:r w:rsidR="0065454D" w:rsidRPr="0020749A">
        <w:rPr>
          <w:szCs w:val="22"/>
          <w:lang w:val="fr-FR"/>
        </w:rPr>
        <w:t>.</w:t>
      </w:r>
    </w:p>
    <w:p w14:paraId="0A0338D4" w14:textId="77777777" w:rsidR="000C6FCC" w:rsidRPr="0020749A" w:rsidRDefault="000C6FCC" w:rsidP="00457366">
      <w:pPr>
        <w:jc w:val="both"/>
        <w:rPr>
          <w:szCs w:val="22"/>
          <w:lang w:val="fr-FR"/>
        </w:rPr>
      </w:pPr>
    </w:p>
    <w:p w14:paraId="3EB34075" w14:textId="77777777" w:rsidR="00305D46" w:rsidRPr="0020749A" w:rsidRDefault="00305D46" w:rsidP="00457366">
      <w:pPr>
        <w:jc w:val="both"/>
        <w:rPr>
          <w:szCs w:val="22"/>
          <w:lang w:val="fr-FR"/>
        </w:rPr>
      </w:pPr>
    </w:p>
    <w:p w14:paraId="0A0338D5" w14:textId="3292BA6F" w:rsidR="000C6FCC" w:rsidRPr="0020749A" w:rsidRDefault="009F0151" w:rsidP="00457366">
      <w:pPr>
        <w:keepNext/>
        <w:jc w:val="both"/>
        <w:rPr>
          <w:szCs w:val="22"/>
        </w:rPr>
      </w:pPr>
      <w:bookmarkStart w:id="10" w:name="chk-paragraph-9-3-3_nodeId--1465072020"/>
      <w:bookmarkEnd w:id="9"/>
      <w:r w:rsidRPr="0020749A">
        <w:rPr>
          <w:b/>
          <w:szCs w:val="22"/>
        </w:rPr>
        <w:t xml:space="preserve">c) Les </w:t>
      </w:r>
      <w:proofErr w:type="spellStart"/>
      <w:r w:rsidRPr="0020749A">
        <w:rPr>
          <w:b/>
          <w:szCs w:val="22"/>
        </w:rPr>
        <w:t>signes</w:t>
      </w:r>
      <w:proofErr w:type="spellEnd"/>
    </w:p>
    <w:p w14:paraId="0A0338D6" w14:textId="20CEB46D" w:rsidR="000C6FCC" w:rsidRPr="0020749A" w:rsidRDefault="009F0151" w:rsidP="00457366">
      <w:pPr>
        <w:keepNext/>
        <w:jc w:val="both"/>
        <w:rPr>
          <w:szCs w:val="22"/>
        </w:rPr>
      </w:pPr>
      <w:r w:rsidRPr="0020749A">
        <w:rPr>
          <w:szCs w:val="22"/>
        </w:rPr>
        <w:t> </w:t>
      </w:r>
    </w:p>
    <w:tbl>
      <w:tblPr>
        <w:tblW w:w="0" w:type="auto"/>
        <w:tblCellSpacing w:w="0" w:type="auto"/>
        <w:tblInd w:w="154" w:type="dxa"/>
        <w:tblBorders>
          <w:top w:val="none" w:sz="0" w:space="0" w:color="FFFFFF"/>
          <w:left w:val="none" w:sz="0" w:space="0" w:color="FFFFFF"/>
          <w:bottom w:val="none" w:sz="0" w:space="0" w:color="FFFFFF"/>
          <w:right w:val="none" w:sz="0" w:space="0" w:color="FFFFFF"/>
        </w:tblBorders>
        <w:tblLook w:val="04A0" w:firstRow="1" w:lastRow="0" w:firstColumn="1" w:lastColumn="0" w:noHBand="0" w:noVBand="1"/>
      </w:tblPr>
      <w:tblGrid>
        <w:gridCol w:w="4873"/>
        <w:gridCol w:w="4000"/>
      </w:tblGrid>
      <w:tr w:rsidR="007E5FF7" w:rsidRPr="0020749A" w14:paraId="5AF255DC" w14:textId="77777777" w:rsidTr="003A1314">
        <w:trPr>
          <w:trHeight w:val="30"/>
          <w:tblCellSpacing w:w="0" w:type="auto"/>
        </w:trPr>
        <w:tc>
          <w:tcPr>
            <w:tcW w:w="6761" w:type="dxa"/>
            <w:tcBorders>
              <w:bottom w:val="dotted" w:sz="8" w:space="0" w:color="000000"/>
              <w:right w:val="dotted" w:sz="8" w:space="0" w:color="000000"/>
            </w:tcBorders>
            <w:tcMar>
              <w:top w:w="15" w:type="dxa"/>
              <w:left w:w="15" w:type="dxa"/>
              <w:bottom w:w="15" w:type="dxa"/>
              <w:right w:w="15" w:type="dxa"/>
            </w:tcMar>
            <w:vAlign w:val="center"/>
          </w:tcPr>
          <w:p w14:paraId="34D7914C" w14:textId="77777777" w:rsidR="007E5FF7" w:rsidRPr="00263A42" w:rsidRDefault="007E5FF7" w:rsidP="003A1314">
            <w:pPr>
              <w:ind w:left="130"/>
              <w:jc w:val="center"/>
              <w:rPr>
                <w:szCs w:val="22"/>
                <w14:shadow w14:blurRad="50800" w14:dist="38100" w14:dir="2700000" w14:sx="100000" w14:sy="100000" w14:kx="0" w14:ky="0" w14:algn="tl">
                  <w14:srgbClr w14:val="000000">
                    <w14:alpha w14:val="60000"/>
                  </w14:srgbClr>
                </w14:shadow>
              </w:rPr>
            </w:pPr>
            <w:r w:rsidRPr="0020749A">
              <w:rPr>
                <w:szCs w:val="22"/>
              </w:rPr>
              <w:t>CARTIER</w:t>
            </w:r>
          </w:p>
        </w:tc>
        <w:tc>
          <w:tcPr>
            <w:tcW w:w="5409" w:type="dxa"/>
            <w:tcBorders>
              <w:left w:val="dotted" w:sz="8" w:space="0" w:color="000000"/>
              <w:bottom w:val="dotted" w:sz="8" w:space="0" w:color="000000"/>
            </w:tcBorders>
            <w:tcMar>
              <w:top w:w="15" w:type="dxa"/>
              <w:left w:w="15" w:type="dxa"/>
              <w:bottom w:w="15" w:type="dxa"/>
              <w:right w:w="15" w:type="dxa"/>
            </w:tcMar>
            <w:vAlign w:val="center"/>
          </w:tcPr>
          <w:p w14:paraId="4CEDD432" w14:textId="77777777" w:rsidR="007E5FF7" w:rsidRPr="00263A42" w:rsidRDefault="007E5FF7" w:rsidP="003A1314">
            <w:pPr>
              <w:ind w:left="130"/>
              <w:jc w:val="center"/>
              <w:rPr>
                <w:szCs w:val="22"/>
                <w14:shadow w14:blurRad="50800" w14:dist="38100" w14:dir="2700000" w14:sx="100000" w14:sy="100000" w14:kx="0" w14:ky="0" w14:algn="tl">
                  <w14:srgbClr w14:val="000000">
                    <w14:alpha w14:val="60000"/>
                  </w14:srgbClr>
                </w14:shadow>
              </w:rPr>
            </w:pPr>
            <w:r w:rsidRPr="0020749A">
              <w:rPr>
                <w:noProof/>
                <w:szCs w:val="22"/>
              </w:rPr>
              <w:drawing>
                <wp:inline distT="0" distB="0" distL="0" distR="0" wp14:anchorId="5C50D642" wp14:editId="2438869B">
                  <wp:extent cx="675667" cy="1050326"/>
                  <wp:effectExtent l="0" t="0" r="0" b="0"/>
                  <wp:docPr id="693931978" name="Picture 69393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809" t="4453" r="23469" b="4263"/>
                          <a:stretch/>
                        </pic:blipFill>
                        <pic:spPr bwMode="auto">
                          <a:xfrm>
                            <a:off x="0" y="0"/>
                            <a:ext cx="689241" cy="1071426"/>
                          </a:xfrm>
                          <a:prstGeom prst="rect">
                            <a:avLst/>
                          </a:prstGeom>
                          <a:ln>
                            <a:noFill/>
                          </a:ln>
                          <a:extLst>
                            <a:ext uri="{53640926-AAD7-44D8-BBD7-CCE9431645EC}">
                              <a14:shadowObscured xmlns:a14="http://schemas.microsoft.com/office/drawing/2010/main"/>
                            </a:ext>
                          </a:extLst>
                        </pic:spPr>
                      </pic:pic>
                    </a:graphicData>
                  </a:graphic>
                </wp:inline>
              </w:drawing>
            </w:r>
          </w:p>
        </w:tc>
      </w:tr>
      <w:tr w:rsidR="007E5FF7" w:rsidRPr="0020749A" w14:paraId="472B1EFE" w14:textId="77777777" w:rsidTr="003A1314">
        <w:trPr>
          <w:trHeight w:val="30"/>
          <w:tblCellSpacing w:w="0" w:type="auto"/>
        </w:trPr>
        <w:tc>
          <w:tcPr>
            <w:tcW w:w="6761" w:type="dxa"/>
            <w:tcBorders>
              <w:top w:val="dotted" w:sz="8" w:space="0" w:color="000000"/>
              <w:right w:val="dotted" w:sz="8" w:space="0" w:color="000000"/>
            </w:tcBorders>
            <w:tcMar>
              <w:top w:w="15" w:type="dxa"/>
              <w:left w:w="15" w:type="dxa"/>
              <w:bottom w:w="15" w:type="dxa"/>
              <w:right w:w="15" w:type="dxa"/>
            </w:tcMar>
            <w:vAlign w:val="center"/>
          </w:tcPr>
          <w:p w14:paraId="1DD4AEA4" w14:textId="77777777" w:rsidR="007E5FF7" w:rsidRPr="00263A42" w:rsidRDefault="007E5FF7" w:rsidP="003A1314">
            <w:pPr>
              <w:ind w:left="130"/>
              <w:jc w:val="center"/>
              <w:rPr>
                <w:szCs w:val="22"/>
                <w14:shadow w14:blurRad="50800" w14:dist="38100" w14:dir="2700000" w14:sx="100000" w14:sy="100000" w14:kx="0" w14:ky="0" w14:algn="tl">
                  <w14:srgbClr w14:val="000000">
                    <w14:alpha w14:val="60000"/>
                  </w14:srgbClr>
                </w14:shadow>
              </w:rPr>
            </w:pPr>
            <w:r w:rsidRPr="0020749A">
              <w:rPr>
                <w:szCs w:val="22"/>
              </w:rPr>
              <w:br/>
              <w:t>Marque antérieure</w:t>
            </w:r>
          </w:p>
        </w:tc>
        <w:tc>
          <w:tcPr>
            <w:tcW w:w="5409" w:type="dxa"/>
            <w:tcBorders>
              <w:top w:val="dotted" w:sz="8" w:space="0" w:color="000000"/>
              <w:left w:val="dotted" w:sz="8" w:space="0" w:color="000000"/>
            </w:tcBorders>
            <w:tcMar>
              <w:top w:w="15" w:type="dxa"/>
              <w:left w:w="15" w:type="dxa"/>
              <w:bottom w:w="15" w:type="dxa"/>
              <w:right w:w="15" w:type="dxa"/>
            </w:tcMar>
            <w:vAlign w:val="center"/>
          </w:tcPr>
          <w:p w14:paraId="033C9BA1" w14:textId="77777777" w:rsidR="007E5FF7" w:rsidRPr="0020749A" w:rsidRDefault="007E5FF7" w:rsidP="003A1314">
            <w:pPr>
              <w:ind w:left="130"/>
              <w:jc w:val="center"/>
              <w:rPr>
                <w:szCs w:val="22"/>
              </w:rPr>
            </w:pPr>
            <w:r w:rsidRPr="0020749A">
              <w:rPr>
                <w:szCs w:val="22"/>
              </w:rPr>
              <w:br/>
              <w:t>Marque contestée</w:t>
            </w:r>
          </w:p>
        </w:tc>
      </w:tr>
    </w:tbl>
    <w:p w14:paraId="6CA258A1" w14:textId="77777777" w:rsidR="007E5FF7" w:rsidRPr="0020749A" w:rsidRDefault="007E5FF7" w:rsidP="00457366">
      <w:pPr>
        <w:jc w:val="both"/>
        <w:rPr>
          <w:szCs w:val="22"/>
          <w:lang w:val="fr-FR"/>
        </w:rPr>
      </w:pPr>
    </w:p>
    <w:p w14:paraId="46C227D8" w14:textId="77777777" w:rsidR="007E5FF7" w:rsidRPr="0020749A" w:rsidRDefault="007E5FF7" w:rsidP="00457366">
      <w:pPr>
        <w:jc w:val="both"/>
        <w:rPr>
          <w:szCs w:val="22"/>
          <w:lang w:val="fr-FR"/>
        </w:rPr>
      </w:pPr>
    </w:p>
    <w:p w14:paraId="7CA53D01" w14:textId="2B2F0AE8" w:rsidR="00D04B60" w:rsidRPr="0020749A" w:rsidRDefault="00D04B60" w:rsidP="00457366">
      <w:pPr>
        <w:jc w:val="both"/>
        <w:rPr>
          <w:szCs w:val="22"/>
          <w:lang w:val="fr-FR"/>
        </w:rPr>
      </w:pPr>
      <w:r w:rsidRPr="0020749A">
        <w:rPr>
          <w:szCs w:val="22"/>
          <w:lang w:val="fr-FR"/>
        </w:rPr>
        <w:lastRenderedPageBreak/>
        <w:t>Le territoire pertinent est l'Union européenne.</w:t>
      </w:r>
    </w:p>
    <w:p w14:paraId="6A224DB1" w14:textId="77777777" w:rsidR="00D04B60" w:rsidRPr="0020749A" w:rsidRDefault="00D04B60" w:rsidP="00457366">
      <w:pPr>
        <w:jc w:val="both"/>
        <w:rPr>
          <w:szCs w:val="22"/>
          <w:lang w:val="fr-FR"/>
        </w:rPr>
      </w:pPr>
    </w:p>
    <w:p w14:paraId="410B62BB" w14:textId="71CA2DE7" w:rsidR="00D04B60" w:rsidRPr="0020749A" w:rsidRDefault="00D04B60" w:rsidP="00457366">
      <w:pPr>
        <w:jc w:val="both"/>
        <w:rPr>
          <w:szCs w:val="22"/>
          <w:lang w:val="fr-FR"/>
        </w:rPr>
      </w:pPr>
      <w:r w:rsidRPr="0020749A">
        <w:rPr>
          <w:szCs w:val="22"/>
          <w:lang w:val="fr-FR"/>
        </w:rPr>
        <w:t>L’appréciation globale doit, en ce qui concerne la similitude visuelle, phonétique ou conceptuelle des marques en cause, être fondée sur l’impression d’ensemble produite par les marques, en tenant compte, notamment, des éléments distinctifs et dominants de celles-ci (11/11/1997, C</w:t>
      </w:r>
      <w:r w:rsidRPr="0020749A">
        <w:rPr>
          <w:rFonts w:ascii="Cambria Math" w:hAnsi="Cambria Math" w:cs="Cambria Math"/>
          <w:szCs w:val="22"/>
          <w:lang w:val="fr-FR"/>
        </w:rPr>
        <w:t>‑</w:t>
      </w:r>
      <w:r w:rsidRPr="0020749A">
        <w:rPr>
          <w:szCs w:val="22"/>
          <w:lang w:val="fr-FR"/>
        </w:rPr>
        <w:t xml:space="preserve">251/95, </w:t>
      </w:r>
      <w:proofErr w:type="spellStart"/>
      <w:r w:rsidRPr="0020749A">
        <w:rPr>
          <w:szCs w:val="22"/>
          <w:lang w:val="fr-FR"/>
        </w:rPr>
        <w:t>Sabèl</w:t>
      </w:r>
      <w:proofErr w:type="spellEnd"/>
      <w:r w:rsidRPr="0020749A">
        <w:rPr>
          <w:szCs w:val="22"/>
          <w:lang w:val="fr-FR"/>
        </w:rPr>
        <w:t xml:space="preserve">, </w:t>
      </w:r>
      <w:proofErr w:type="gramStart"/>
      <w:r w:rsidRPr="0020749A">
        <w:rPr>
          <w:szCs w:val="22"/>
          <w:lang w:val="fr-FR"/>
        </w:rPr>
        <w:t>EU:C:1997:</w:t>
      </w:r>
      <w:proofErr w:type="gramEnd"/>
      <w:r w:rsidRPr="0020749A">
        <w:rPr>
          <w:szCs w:val="22"/>
          <w:lang w:val="fr-FR"/>
        </w:rPr>
        <w:t>528, § 23).</w:t>
      </w:r>
    </w:p>
    <w:p w14:paraId="6CD77B32" w14:textId="77777777" w:rsidR="00D04B60" w:rsidRPr="0020749A" w:rsidRDefault="00D04B60" w:rsidP="00457366">
      <w:pPr>
        <w:jc w:val="both"/>
        <w:rPr>
          <w:szCs w:val="22"/>
          <w:lang w:val="fr-FR"/>
        </w:rPr>
      </w:pPr>
    </w:p>
    <w:p w14:paraId="4FA7F701" w14:textId="3006DCBF" w:rsidR="009B6084" w:rsidRPr="0020749A" w:rsidRDefault="00D04B60" w:rsidP="00457366">
      <w:pPr>
        <w:jc w:val="both"/>
        <w:rPr>
          <w:szCs w:val="22"/>
          <w:lang w:val="fr-FR"/>
        </w:rPr>
      </w:pPr>
      <w:r w:rsidRPr="0020749A">
        <w:rPr>
          <w:szCs w:val="22"/>
          <w:lang w:val="fr-FR"/>
        </w:rPr>
        <w:t xml:space="preserve">Le terme « CARTIER » </w:t>
      </w:r>
      <w:r w:rsidR="00457366" w:rsidRPr="0020749A">
        <w:rPr>
          <w:szCs w:val="22"/>
          <w:lang w:val="fr-FR"/>
        </w:rPr>
        <w:t xml:space="preserve">de </w:t>
      </w:r>
      <w:r w:rsidRPr="0020749A">
        <w:rPr>
          <w:szCs w:val="22"/>
          <w:lang w:val="fr-FR"/>
        </w:rPr>
        <w:t>la marque antérieure</w:t>
      </w:r>
      <w:r w:rsidR="00457366" w:rsidRPr="0020749A">
        <w:rPr>
          <w:szCs w:val="22"/>
          <w:lang w:val="fr-FR"/>
        </w:rPr>
        <w:t>,</w:t>
      </w:r>
      <w:r w:rsidRPr="0020749A">
        <w:rPr>
          <w:szCs w:val="22"/>
          <w:lang w:val="fr-FR"/>
        </w:rPr>
        <w:t xml:space="preserve"> présent </w:t>
      </w:r>
      <w:r w:rsidR="00457366" w:rsidRPr="0020749A">
        <w:rPr>
          <w:szCs w:val="22"/>
          <w:lang w:val="fr-FR"/>
        </w:rPr>
        <w:t xml:space="preserve">également </w:t>
      </w:r>
      <w:r w:rsidRPr="0020749A">
        <w:rPr>
          <w:szCs w:val="22"/>
          <w:lang w:val="fr-FR"/>
        </w:rPr>
        <w:t>dans le signe contesté</w:t>
      </w:r>
      <w:r w:rsidR="00457366" w:rsidRPr="0020749A">
        <w:rPr>
          <w:szCs w:val="22"/>
          <w:lang w:val="fr-FR"/>
        </w:rPr>
        <w:t>,</w:t>
      </w:r>
      <w:r w:rsidRPr="0020749A">
        <w:rPr>
          <w:szCs w:val="22"/>
          <w:lang w:val="fr-FR"/>
        </w:rPr>
        <w:t xml:space="preserve"> sera associé à tout le moins par la partie francophone du public à un patronyme</w:t>
      </w:r>
      <w:r w:rsidR="00542FE2" w:rsidRPr="0020749A">
        <w:rPr>
          <w:szCs w:val="22"/>
          <w:lang w:val="fr-FR"/>
        </w:rPr>
        <w:t xml:space="preserve"> français</w:t>
      </w:r>
      <w:r w:rsidRPr="0020749A">
        <w:rPr>
          <w:szCs w:val="22"/>
          <w:lang w:val="fr-FR"/>
        </w:rPr>
        <w:t>. Ce terme</w:t>
      </w:r>
      <w:r w:rsidR="002D1057" w:rsidRPr="0020749A">
        <w:rPr>
          <w:szCs w:val="22"/>
          <w:lang w:val="fr-FR"/>
        </w:rPr>
        <w:t>, qui</w:t>
      </w:r>
      <w:r w:rsidRPr="0020749A">
        <w:rPr>
          <w:szCs w:val="22"/>
          <w:lang w:val="fr-FR"/>
        </w:rPr>
        <w:t xml:space="preserve"> </w:t>
      </w:r>
      <w:r w:rsidR="00457366" w:rsidRPr="0020749A">
        <w:rPr>
          <w:szCs w:val="22"/>
          <w:lang w:val="fr-FR"/>
        </w:rPr>
        <w:t xml:space="preserve">n’a </w:t>
      </w:r>
      <w:r w:rsidRPr="0020749A">
        <w:rPr>
          <w:szCs w:val="22"/>
          <w:lang w:val="fr-FR"/>
        </w:rPr>
        <w:t>aucune relation avec les produits en cause</w:t>
      </w:r>
      <w:r w:rsidR="002D1057" w:rsidRPr="0020749A">
        <w:rPr>
          <w:szCs w:val="22"/>
          <w:lang w:val="fr-FR"/>
        </w:rPr>
        <w:t>,</w:t>
      </w:r>
      <w:r w:rsidRPr="0020749A">
        <w:rPr>
          <w:szCs w:val="22"/>
          <w:lang w:val="fr-FR"/>
        </w:rPr>
        <w:t xml:space="preserve"> est distinctif à un degré normal. Dans le signe contesté, ce patronyme est précédé du terme « DE » qui sera compris à tout le moins de la partie francophone du public </w:t>
      </w:r>
      <w:r w:rsidR="003240EE" w:rsidRPr="0020749A">
        <w:rPr>
          <w:szCs w:val="22"/>
          <w:lang w:val="fr-FR"/>
        </w:rPr>
        <w:t xml:space="preserve">soit comme une particule onomastique soit </w:t>
      </w:r>
      <w:r w:rsidRPr="0020749A">
        <w:rPr>
          <w:szCs w:val="22"/>
          <w:lang w:val="fr-FR"/>
        </w:rPr>
        <w:t xml:space="preserve">comme la préposition qui indique la possession, l’appartenance, ou encore la provenance. </w:t>
      </w:r>
      <w:r w:rsidR="009B6084" w:rsidRPr="0020749A">
        <w:rPr>
          <w:szCs w:val="22"/>
          <w:lang w:val="fr-FR"/>
        </w:rPr>
        <w:t>Ainsi son pouvoir distinctif e</w:t>
      </w:r>
      <w:r w:rsidR="002D1057" w:rsidRPr="0020749A">
        <w:rPr>
          <w:szCs w:val="22"/>
          <w:lang w:val="fr-FR"/>
        </w:rPr>
        <w:t>s</w:t>
      </w:r>
      <w:r w:rsidR="009B6084" w:rsidRPr="0020749A">
        <w:rPr>
          <w:szCs w:val="22"/>
          <w:lang w:val="fr-FR"/>
        </w:rPr>
        <w:t>t limité</w:t>
      </w:r>
      <w:r w:rsidR="007E4EE5" w:rsidRPr="0020749A">
        <w:rPr>
          <w:szCs w:val="22"/>
          <w:lang w:val="fr-FR"/>
        </w:rPr>
        <w:t>,</w:t>
      </w:r>
      <w:r w:rsidR="009B6084" w:rsidRPr="0020749A">
        <w:rPr>
          <w:szCs w:val="22"/>
          <w:lang w:val="fr-FR"/>
        </w:rPr>
        <w:t xml:space="preserve"> voire nul</w:t>
      </w:r>
      <w:r w:rsidR="007E4EE5" w:rsidRPr="0020749A">
        <w:rPr>
          <w:szCs w:val="22"/>
          <w:lang w:val="fr-FR"/>
        </w:rPr>
        <w:t>,</w:t>
      </w:r>
      <w:r w:rsidR="002E0C22" w:rsidRPr="0020749A">
        <w:rPr>
          <w:szCs w:val="22"/>
          <w:lang w:val="fr-FR"/>
        </w:rPr>
        <w:t xml:space="preserve"> bien que l</w:t>
      </w:r>
      <w:r w:rsidR="009B6084" w:rsidRPr="0020749A">
        <w:rPr>
          <w:szCs w:val="22"/>
          <w:lang w:val="fr-FR"/>
        </w:rPr>
        <w:t>’expression « DE CARTIER »</w:t>
      </w:r>
      <w:r w:rsidR="003240EE" w:rsidRPr="0020749A">
        <w:rPr>
          <w:szCs w:val="22"/>
          <w:lang w:val="fr-FR"/>
        </w:rPr>
        <w:t xml:space="preserve"> dans son ensemble</w:t>
      </w:r>
      <w:r w:rsidR="002E0C22" w:rsidRPr="0020749A">
        <w:rPr>
          <w:szCs w:val="22"/>
          <w:lang w:val="fr-FR"/>
        </w:rPr>
        <w:t xml:space="preserve">, </w:t>
      </w:r>
      <w:r w:rsidR="003C1411" w:rsidRPr="0020749A">
        <w:rPr>
          <w:szCs w:val="22"/>
          <w:lang w:val="fr-FR"/>
        </w:rPr>
        <w:t xml:space="preserve">comprise </w:t>
      </w:r>
      <w:r w:rsidR="003240EE" w:rsidRPr="0020749A">
        <w:rPr>
          <w:szCs w:val="22"/>
          <w:lang w:val="fr-FR"/>
        </w:rPr>
        <w:t xml:space="preserve">soit comme un nom de famille à particule soit </w:t>
      </w:r>
      <w:r w:rsidR="003C1411" w:rsidRPr="0020749A">
        <w:rPr>
          <w:szCs w:val="22"/>
          <w:lang w:val="fr-FR"/>
        </w:rPr>
        <w:t>comme indiquant l’appartenance ou la provenance des produits couverts à un</w:t>
      </w:r>
      <w:r w:rsidR="002D1057" w:rsidRPr="0020749A">
        <w:rPr>
          <w:szCs w:val="22"/>
          <w:lang w:val="fr-FR"/>
        </w:rPr>
        <w:t>e</w:t>
      </w:r>
      <w:r w:rsidR="003C1411" w:rsidRPr="0020749A">
        <w:rPr>
          <w:szCs w:val="22"/>
          <w:lang w:val="fr-FR"/>
        </w:rPr>
        <w:t xml:space="preserve"> personne ou à une entreprise du nom de CARTIER</w:t>
      </w:r>
      <w:r w:rsidR="002E0C22" w:rsidRPr="0020749A">
        <w:rPr>
          <w:szCs w:val="22"/>
          <w:lang w:val="fr-FR"/>
        </w:rPr>
        <w:t>, demeure distinctive à un degré normal</w:t>
      </w:r>
      <w:r w:rsidR="003C1411" w:rsidRPr="0020749A">
        <w:rPr>
          <w:szCs w:val="22"/>
          <w:lang w:val="fr-FR"/>
        </w:rPr>
        <w:t xml:space="preserve">. </w:t>
      </w:r>
      <w:r w:rsidR="00542FE2" w:rsidRPr="0020749A">
        <w:rPr>
          <w:szCs w:val="22"/>
          <w:lang w:val="fr-FR"/>
        </w:rPr>
        <w:t xml:space="preserve">Cette expression </w:t>
      </w:r>
      <w:r w:rsidR="009B6084" w:rsidRPr="0020749A">
        <w:rPr>
          <w:szCs w:val="22"/>
          <w:lang w:val="fr-FR"/>
        </w:rPr>
        <w:t>est représentée</w:t>
      </w:r>
      <w:r w:rsidRPr="0020749A">
        <w:rPr>
          <w:szCs w:val="22"/>
          <w:lang w:val="fr-FR"/>
        </w:rPr>
        <w:t xml:space="preserve"> au moyen d’une </w:t>
      </w:r>
      <w:r w:rsidR="009B6084" w:rsidRPr="0020749A">
        <w:rPr>
          <w:szCs w:val="22"/>
          <w:lang w:val="fr-FR"/>
        </w:rPr>
        <w:t>typographie</w:t>
      </w:r>
      <w:r w:rsidRPr="0020749A">
        <w:rPr>
          <w:szCs w:val="22"/>
          <w:lang w:val="fr-FR"/>
        </w:rPr>
        <w:t xml:space="preserve"> légèrement stylisée de type manuscrit et </w:t>
      </w:r>
      <w:r w:rsidR="009B6084" w:rsidRPr="0020749A">
        <w:rPr>
          <w:szCs w:val="22"/>
          <w:lang w:val="fr-FR"/>
        </w:rPr>
        <w:t>est</w:t>
      </w:r>
      <w:r w:rsidRPr="0020749A">
        <w:rPr>
          <w:szCs w:val="22"/>
          <w:lang w:val="fr-FR"/>
        </w:rPr>
        <w:t xml:space="preserve"> placé</w:t>
      </w:r>
      <w:r w:rsidR="009B6084" w:rsidRPr="0020749A">
        <w:rPr>
          <w:szCs w:val="22"/>
          <w:lang w:val="fr-FR"/>
        </w:rPr>
        <w:t>e</w:t>
      </w:r>
      <w:r w:rsidRPr="0020749A">
        <w:rPr>
          <w:szCs w:val="22"/>
          <w:lang w:val="fr-FR"/>
        </w:rPr>
        <w:t xml:space="preserve"> entre deux tirets</w:t>
      </w:r>
      <w:r w:rsidR="009B6084" w:rsidRPr="0020749A">
        <w:rPr>
          <w:szCs w:val="22"/>
          <w:lang w:val="fr-FR"/>
        </w:rPr>
        <w:t xml:space="preserve"> au bas du signe</w:t>
      </w:r>
      <w:r w:rsidR="00542FE2" w:rsidRPr="0020749A">
        <w:rPr>
          <w:szCs w:val="22"/>
          <w:lang w:val="fr-FR"/>
        </w:rPr>
        <w:t xml:space="preserve">. Toutefois, ces aspects figuratifs </w:t>
      </w:r>
      <w:r w:rsidR="009B6084" w:rsidRPr="0020749A">
        <w:rPr>
          <w:szCs w:val="22"/>
          <w:lang w:val="fr-FR"/>
        </w:rPr>
        <w:t xml:space="preserve">n’ont </w:t>
      </w:r>
      <w:r w:rsidR="003C1411" w:rsidRPr="0020749A">
        <w:rPr>
          <w:szCs w:val="22"/>
          <w:lang w:val="fr-FR"/>
        </w:rPr>
        <w:t xml:space="preserve">rien d’élaboré ni de sophistiqué et n’ont </w:t>
      </w:r>
      <w:r w:rsidR="009B6084" w:rsidRPr="0020749A">
        <w:rPr>
          <w:szCs w:val="22"/>
          <w:lang w:val="fr-FR"/>
        </w:rPr>
        <w:t>qu’une fonction décorative</w:t>
      </w:r>
      <w:r w:rsidR="003C1411" w:rsidRPr="0020749A">
        <w:rPr>
          <w:szCs w:val="22"/>
          <w:lang w:val="fr-FR"/>
        </w:rPr>
        <w:t xml:space="preserve">, aussi </w:t>
      </w:r>
      <w:r w:rsidR="009B6084" w:rsidRPr="0020749A">
        <w:rPr>
          <w:szCs w:val="22"/>
          <w:lang w:val="fr-FR"/>
        </w:rPr>
        <w:t>sont</w:t>
      </w:r>
      <w:r w:rsidR="003C1411" w:rsidRPr="0020749A">
        <w:rPr>
          <w:szCs w:val="22"/>
          <w:lang w:val="fr-FR"/>
        </w:rPr>
        <w:t>-ils</w:t>
      </w:r>
      <w:r w:rsidR="009B6084" w:rsidRPr="0020749A">
        <w:rPr>
          <w:szCs w:val="22"/>
          <w:lang w:val="fr-FR"/>
        </w:rPr>
        <w:t xml:space="preserve"> dépourvus de tout caractère distinctif. </w:t>
      </w:r>
    </w:p>
    <w:p w14:paraId="34D26B7E" w14:textId="77777777" w:rsidR="009B6084" w:rsidRPr="0020749A" w:rsidRDefault="009B6084" w:rsidP="00457366">
      <w:pPr>
        <w:jc w:val="both"/>
        <w:rPr>
          <w:szCs w:val="22"/>
          <w:lang w:val="fr-FR"/>
        </w:rPr>
      </w:pPr>
    </w:p>
    <w:p w14:paraId="4B1B730F" w14:textId="52D75AE8" w:rsidR="003C7699" w:rsidRPr="0020749A" w:rsidRDefault="009B6084" w:rsidP="00457366">
      <w:pPr>
        <w:jc w:val="both"/>
        <w:rPr>
          <w:szCs w:val="22"/>
          <w:lang w:val="fr-FR"/>
        </w:rPr>
      </w:pPr>
      <w:r w:rsidRPr="0020749A">
        <w:rPr>
          <w:szCs w:val="22"/>
          <w:lang w:val="fr-FR"/>
        </w:rPr>
        <w:t xml:space="preserve">En haut du signe contesté se trouve un élément figuratif en noir et blanc ressemblant à un écusson avec la représentation de la tête d’un chien </w:t>
      </w:r>
      <w:r w:rsidR="002F1135" w:rsidRPr="0020749A">
        <w:rPr>
          <w:szCs w:val="22"/>
          <w:lang w:val="fr-FR"/>
        </w:rPr>
        <w:t>à l’expression</w:t>
      </w:r>
      <w:r w:rsidRPr="0020749A">
        <w:rPr>
          <w:szCs w:val="22"/>
          <w:lang w:val="fr-FR"/>
        </w:rPr>
        <w:t xml:space="preserve"> féroce. Le signe contient encore le terme « GOLAN » représenté au moyen de la même typographie</w:t>
      </w:r>
      <w:r w:rsidR="008E7468" w:rsidRPr="0020749A">
        <w:rPr>
          <w:szCs w:val="22"/>
          <w:lang w:val="fr-FR"/>
        </w:rPr>
        <w:t>, bien que de plus grandes dimensions,</w:t>
      </w:r>
      <w:r w:rsidRPr="0020749A">
        <w:rPr>
          <w:szCs w:val="22"/>
          <w:lang w:val="fr-FR"/>
        </w:rPr>
        <w:t xml:space="preserve"> que l’expression « DE CARTIER ». </w:t>
      </w:r>
      <w:r w:rsidR="008E7468" w:rsidRPr="0020749A">
        <w:rPr>
          <w:szCs w:val="22"/>
          <w:lang w:val="fr-FR"/>
        </w:rPr>
        <w:t xml:space="preserve">Si « GOLAN » peut être compris comme une référence au plateau du Golan, par exemple, il semble beaucoup plus probable que le public analysé perçoive ce terme comme le </w:t>
      </w:r>
      <w:r w:rsidR="002F1135" w:rsidRPr="0020749A">
        <w:rPr>
          <w:szCs w:val="22"/>
          <w:lang w:val="fr-FR"/>
        </w:rPr>
        <w:t>pré</w:t>
      </w:r>
      <w:r w:rsidR="008E7468" w:rsidRPr="0020749A">
        <w:rPr>
          <w:szCs w:val="22"/>
          <w:lang w:val="fr-FR"/>
        </w:rPr>
        <w:t xml:space="preserve">nom </w:t>
      </w:r>
      <w:r w:rsidR="00A47392" w:rsidRPr="0020749A">
        <w:rPr>
          <w:szCs w:val="22"/>
          <w:lang w:val="fr-FR"/>
        </w:rPr>
        <w:t xml:space="preserve">du </w:t>
      </w:r>
      <w:r w:rsidR="008E7468" w:rsidRPr="0020749A">
        <w:rPr>
          <w:szCs w:val="22"/>
          <w:lang w:val="fr-FR"/>
        </w:rPr>
        <w:t xml:space="preserve">chien en question. Ces éléments additionnels n’ont aucune signification en relation avec les produits en cause et sont dès lors également distinctifs à un degré normal. </w:t>
      </w:r>
      <w:r w:rsidR="003C1411" w:rsidRPr="0020749A">
        <w:rPr>
          <w:szCs w:val="22"/>
          <w:lang w:val="fr-FR"/>
        </w:rPr>
        <w:t xml:space="preserve">Il convient encore de noter </w:t>
      </w:r>
      <w:r w:rsidR="00542FE2" w:rsidRPr="0020749A">
        <w:rPr>
          <w:szCs w:val="22"/>
          <w:lang w:val="fr-FR"/>
        </w:rPr>
        <w:t>qu’</w:t>
      </w:r>
      <w:r w:rsidR="003C1411" w:rsidRPr="0020749A">
        <w:rPr>
          <w:szCs w:val="22"/>
          <w:lang w:val="fr-FR"/>
        </w:rPr>
        <w:t xml:space="preserve">aucun de tous les éléments composant le signe contesté ne saurait être considéré comme étant dominant. En effet, ils sont </w:t>
      </w:r>
      <w:r w:rsidR="003C7699" w:rsidRPr="0020749A">
        <w:rPr>
          <w:szCs w:val="22"/>
          <w:lang w:val="fr-FR"/>
        </w:rPr>
        <w:t>tous immédiatement et simultanément perceptibles</w:t>
      </w:r>
      <w:r w:rsidR="00542FE2" w:rsidRPr="0020749A">
        <w:rPr>
          <w:szCs w:val="22"/>
          <w:lang w:val="fr-FR"/>
        </w:rPr>
        <w:t xml:space="preserve"> malgré leurs différences de dimensions</w:t>
      </w:r>
      <w:r w:rsidR="003C7699" w:rsidRPr="0020749A">
        <w:rPr>
          <w:szCs w:val="22"/>
          <w:lang w:val="fr-FR"/>
        </w:rPr>
        <w:t>.</w:t>
      </w:r>
      <w:r w:rsidR="00542FE2" w:rsidRPr="0020749A">
        <w:rPr>
          <w:szCs w:val="22"/>
          <w:lang w:val="fr-FR"/>
        </w:rPr>
        <w:t xml:space="preserve"> Toutefois, </w:t>
      </w:r>
      <w:r w:rsidR="002F1135" w:rsidRPr="0020749A">
        <w:rPr>
          <w:szCs w:val="22"/>
          <w:lang w:val="fr-FR"/>
        </w:rPr>
        <w:t xml:space="preserve">si </w:t>
      </w:r>
      <w:r w:rsidR="00542FE2" w:rsidRPr="0020749A">
        <w:rPr>
          <w:szCs w:val="22"/>
          <w:lang w:val="fr-FR"/>
        </w:rPr>
        <w:t xml:space="preserve">la représentation du chien </w:t>
      </w:r>
      <w:r w:rsidR="002F1135" w:rsidRPr="0020749A">
        <w:rPr>
          <w:szCs w:val="22"/>
          <w:lang w:val="fr-FR"/>
        </w:rPr>
        <w:t xml:space="preserve">est </w:t>
      </w:r>
      <w:r w:rsidR="0034245F" w:rsidRPr="0020749A">
        <w:rPr>
          <w:szCs w:val="22"/>
          <w:lang w:val="fr-FR"/>
        </w:rPr>
        <w:t xml:space="preserve">distinctive, </w:t>
      </w:r>
      <w:r w:rsidR="00542FE2" w:rsidRPr="0020749A">
        <w:rPr>
          <w:szCs w:val="22"/>
          <w:lang w:val="fr-FR"/>
        </w:rPr>
        <w:t>élaborée</w:t>
      </w:r>
      <w:r w:rsidR="0034245F" w:rsidRPr="0020749A">
        <w:rPr>
          <w:szCs w:val="22"/>
          <w:lang w:val="fr-FR"/>
        </w:rPr>
        <w:t xml:space="preserve">, </w:t>
      </w:r>
      <w:r w:rsidR="00542FE2" w:rsidRPr="0020749A">
        <w:rPr>
          <w:szCs w:val="22"/>
          <w:lang w:val="fr-FR"/>
        </w:rPr>
        <w:t xml:space="preserve">et </w:t>
      </w:r>
      <w:r w:rsidR="0034245F" w:rsidRPr="0020749A">
        <w:rPr>
          <w:szCs w:val="22"/>
          <w:lang w:val="fr-FR"/>
        </w:rPr>
        <w:t xml:space="preserve">parfaitement visible au haut du signe, il demeure que </w:t>
      </w:r>
      <w:r w:rsidR="002D1057" w:rsidRPr="0020749A">
        <w:rPr>
          <w:szCs w:val="22"/>
          <w:lang w:val="fr-FR"/>
        </w:rPr>
        <w:t>lorsque des signes sont constitués d’éléments à la fois verbaux et figuratifs, l’élément verbal du signe a, en principe, davantage d’impact sur le consommateur que l’élément figuratif. En effet, le public n’a pas tendance à analyser les signes et fera plus facilement référence aux signes en cause en citant leur élément verbal qu’en décrivant leurs éléments figuratifs (14/07/2005, T</w:t>
      </w:r>
      <w:r w:rsidR="002D1057" w:rsidRPr="0020749A">
        <w:rPr>
          <w:rFonts w:ascii="Cambria Math" w:hAnsi="Cambria Math" w:cs="Cambria Math"/>
          <w:szCs w:val="22"/>
          <w:lang w:val="fr-FR"/>
        </w:rPr>
        <w:t>‑</w:t>
      </w:r>
      <w:r w:rsidR="002D1057" w:rsidRPr="0020749A">
        <w:rPr>
          <w:szCs w:val="22"/>
          <w:lang w:val="fr-FR"/>
        </w:rPr>
        <w:t xml:space="preserve">312/03, SELENIUM-ACE, </w:t>
      </w:r>
      <w:proofErr w:type="gramStart"/>
      <w:r w:rsidR="002D1057" w:rsidRPr="0020749A">
        <w:rPr>
          <w:szCs w:val="22"/>
          <w:lang w:val="fr-FR"/>
        </w:rPr>
        <w:t>EU:T</w:t>
      </w:r>
      <w:proofErr w:type="gramEnd"/>
      <w:r w:rsidR="002D1057" w:rsidRPr="0020749A">
        <w:rPr>
          <w:szCs w:val="22"/>
          <w:lang w:val="fr-FR"/>
        </w:rPr>
        <w:t>:</w:t>
      </w:r>
      <w:proofErr w:type="gramStart"/>
      <w:r w:rsidR="002D1057" w:rsidRPr="0020749A">
        <w:rPr>
          <w:szCs w:val="22"/>
          <w:lang w:val="fr-FR"/>
        </w:rPr>
        <w:t>2005:</w:t>
      </w:r>
      <w:proofErr w:type="gramEnd"/>
      <w:r w:rsidR="002D1057" w:rsidRPr="0020749A">
        <w:rPr>
          <w:szCs w:val="22"/>
          <w:lang w:val="fr-FR"/>
        </w:rPr>
        <w:t xml:space="preserve">289, § 37). </w:t>
      </w:r>
    </w:p>
    <w:p w14:paraId="2D222CD8" w14:textId="77777777" w:rsidR="003C7699" w:rsidRPr="0020749A" w:rsidRDefault="003C7699" w:rsidP="00457366">
      <w:pPr>
        <w:jc w:val="both"/>
        <w:rPr>
          <w:szCs w:val="22"/>
          <w:lang w:val="fr-FR"/>
        </w:rPr>
      </w:pPr>
    </w:p>
    <w:p w14:paraId="5A8A2EB2" w14:textId="3C95CE89" w:rsidR="003C7699" w:rsidRPr="0020749A" w:rsidRDefault="003C7699" w:rsidP="00457366">
      <w:pPr>
        <w:jc w:val="both"/>
        <w:rPr>
          <w:szCs w:val="22"/>
          <w:lang w:val="fr-FR"/>
        </w:rPr>
      </w:pPr>
      <w:r w:rsidRPr="0020749A">
        <w:rPr>
          <w:szCs w:val="22"/>
          <w:lang w:val="fr-FR"/>
        </w:rPr>
        <w:t>Le caractère unitaire de la marque de l’Union européenne implique qu’une marque de l’Union européenne antérieure est opposable à toute demande d’enregistrement de marque de l’Union européenne qui porterait atteinte à la protection de la première marque, ne fût-ce que par rapport à la perception des consommateurs d’une partie du territoire de l’Union européenne (18/09/2008, C</w:t>
      </w:r>
      <w:r w:rsidRPr="0020749A">
        <w:rPr>
          <w:szCs w:val="22"/>
          <w:lang w:val="fr-FR"/>
        </w:rPr>
        <w:noBreakHyphen/>
        <w:t xml:space="preserve">514/06 P, ARMAFOAM, </w:t>
      </w:r>
      <w:proofErr w:type="gramStart"/>
      <w:r w:rsidRPr="0020749A">
        <w:rPr>
          <w:szCs w:val="22"/>
          <w:lang w:val="fr-FR"/>
        </w:rPr>
        <w:t>EU:C:2008:</w:t>
      </w:r>
      <w:proofErr w:type="gramEnd"/>
      <w:r w:rsidRPr="0020749A">
        <w:rPr>
          <w:szCs w:val="22"/>
          <w:lang w:val="fr-FR"/>
        </w:rPr>
        <w:t xml:space="preserve">511, § 57). Dès lors, l’existence d’un risque de confusion pour une partie seulement du public pertinent de l’Union européenne est suffisante pour conclure au rejet de la demande contestée. Ainsi, et compte tenu du fait que l’expression « DE CARTIER » du signe contesté </w:t>
      </w:r>
      <w:r w:rsidR="002D1057" w:rsidRPr="0020749A">
        <w:rPr>
          <w:szCs w:val="22"/>
          <w:lang w:val="fr-FR"/>
        </w:rPr>
        <w:t>a une signification</w:t>
      </w:r>
      <w:r w:rsidRPr="0020749A">
        <w:rPr>
          <w:szCs w:val="22"/>
          <w:lang w:val="fr-FR"/>
        </w:rPr>
        <w:t xml:space="preserve"> pour la partie francophone du public et que ce même public associera le terme « CARTIER » dans les deux signes à un patronyme français, la division d’opposition juge utile de concentrer la comparaison des signes sur cette partie du public. </w:t>
      </w:r>
    </w:p>
    <w:p w14:paraId="2A60E356" w14:textId="77777777" w:rsidR="003C7699" w:rsidRPr="0020749A" w:rsidRDefault="003C7699" w:rsidP="00457366">
      <w:pPr>
        <w:jc w:val="both"/>
        <w:rPr>
          <w:szCs w:val="22"/>
          <w:lang w:val="fr-FR"/>
        </w:rPr>
      </w:pPr>
    </w:p>
    <w:p w14:paraId="7CCE8A71" w14:textId="195757C0" w:rsidR="003C7699" w:rsidRPr="0020749A" w:rsidRDefault="003C7699" w:rsidP="00457366">
      <w:pPr>
        <w:jc w:val="both"/>
        <w:rPr>
          <w:szCs w:val="22"/>
          <w:lang w:val="fr-FR"/>
        </w:rPr>
      </w:pPr>
      <w:r w:rsidRPr="0020749A">
        <w:rPr>
          <w:b/>
          <w:szCs w:val="22"/>
          <w:lang w:val="fr-FR"/>
        </w:rPr>
        <w:t>Sur le plan visuel</w:t>
      </w:r>
      <w:r w:rsidRPr="0020749A">
        <w:rPr>
          <w:szCs w:val="22"/>
          <w:lang w:val="fr-FR"/>
        </w:rPr>
        <w:t xml:space="preserve">, les signes coïncident par leur élément « CARTIER » et diffèrent par tous les éléments additionnels du signe contesté décrits supra. Par conséquent, </w:t>
      </w:r>
      <w:r w:rsidR="00542FE2" w:rsidRPr="0020749A">
        <w:rPr>
          <w:szCs w:val="22"/>
          <w:lang w:val="fr-FR"/>
        </w:rPr>
        <w:t xml:space="preserve">et compte tenu </w:t>
      </w:r>
      <w:r w:rsidR="00542FE2" w:rsidRPr="0020749A">
        <w:rPr>
          <w:szCs w:val="22"/>
          <w:lang w:val="fr-FR"/>
        </w:rPr>
        <w:lastRenderedPageBreak/>
        <w:t xml:space="preserve">de toutes les observations supra concernant le caractère distinctif et l’impact des différents éléments composant </w:t>
      </w:r>
      <w:r w:rsidRPr="0020749A">
        <w:rPr>
          <w:szCs w:val="22"/>
          <w:lang w:val="fr-FR"/>
        </w:rPr>
        <w:t>les signes</w:t>
      </w:r>
      <w:r w:rsidR="00542FE2" w:rsidRPr="0020749A">
        <w:rPr>
          <w:szCs w:val="22"/>
          <w:lang w:val="fr-FR"/>
        </w:rPr>
        <w:t xml:space="preserve">, ces derniers </w:t>
      </w:r>
      <w:r w:rsidRPr="0020749A">
        <w:rPr>
          <w:szCs w:val="22"/>
          <w:lang w:val="fr-FR"/>
        </w:rPr>
        <w:t>sont</w:t>
      </w:r>
      <w:r w:rsidR="00BD60DD" w:rsidRPr="0020749A">
        <w:rPr>
          <w:szCs w:val="22"/>
          <w:lang w:val="fr-FR"/>
        </w:rPr>
        <w:t xml:space="preserve"> visuellement</w:t>
      </w:r>
      <w:r w:rsidRPr="0020749A">
        <w:rPr>
          <w:szCs w:val="22"/>
          <w:lang w:val="fr-FR"/>
        </w:rPr>
        <w:t xml:space="preserve"> similaires </w:t>
      </w:r>
      <w:r w:rsidR="0079501F" w:rsidRPr="0020749A">
        <w:rPr>
          <w:szCs w:val="22"/>
          <w:lang w:val="fr-FR"/>
        </w:rPr>
        <w:t>à</w:t>
      </w:r>
      <w:r w:rsidRPr="0020749A">
        <w:rPr>
          <w:szCs w:val="22"/>
          <w:lang w:val="fr-FR"/>
        </w:rPr>
        <w:t xml:space="preserve"> un faible degré. </w:t>
      </w:r>
    </w:p>
    <w:p w14:paraId="1AA202B8" w14:textId="6E857D3A" w:rsidR="003C7699" w:rsidRPr="0020749A" w:rsidRDefault="003C7699" w:rsidP="00457366">
      <w:pPr>
        <w:jc w:val="both"/>
        <w:rPr>
          <w:szCs w:val="22"/>
          <w:lang w:val="fr-FR"/>
        </w:rPr>
      </w:pPr>
      <w:r w:rsidRPr="0020749A">
        <w:rPr>
          <w:szCs w:val="22"/>
          <w:lang w:val="fr-FR"/>
        </w:rPr>
        <w:t> </w:t>
      </w:r>
    </w:p>
    <w:p w14:paraId="2BD6FC6D" w14:textId="6188ECAF" w:rsidR="003C7699" w:rsidRPr="0020749A" w:rsidRDefault="003C7699" w:rsidP="00457366">
      <w:pPr>
        <w:jc w:val="both"/>
        <w:rPr>
          <w:szCs w:val="22"/>
          <w:lang w:val="fr-FR"/>
        </w:rPr>
      </w:pPr>
      <w:r w:rsidRPr="0020749A">
        <w:rPr>
          <w:b/>
          <w:szCs w:val="22"/>
          <w:lang w:val="fr-FR"/>
        </w:rPr>
        <w:t>Sur le plan phonétique</w:t>
      </w:r>
      <w:r w:rsidRPr="0020749A">
        <w:rPr>
          <w:szCs w:val="22"/>
          <w:lang w:val="fr-FR"/>
        </w:rPr>
        <w:t xml:space="preserve">, si </w:t>
      </w:r>
      <w:r w:rsidR="003240EE" w:rsidRPr="0020749A">
        <w:rPr>
          <w:szCs w:val="22"/>
          <w:lang w:val="fr-FR"/>
        </w:rPr>
        <w:t>on ne peut exclure qu’</w:t>
      </w:r>
      <w:r w:rsidRPr="0020749A">
        <w:rPr>
          <w:szCs w:val="22"/>
          <w:lang w:val="fr-FR"/>
        </w:rPr>
        <w:t xml:space="preserve">une partie du public francophone se </w:t>
      </w:r>
      <w:r w:rsidR="008E7468" w:rsidRPr="0020749A">
        <w:rPr>
          <w:szCs w:val="22"/>
          <w:lang w:val="fr-FR"/>
        </w:rPr>
        <w:t xml:space="preserve">réfèrera </w:t>
      </w:r>
      <w:r w:rsidRPr="0020749A">
        <w:rPr>
          <w:szCs w:val="22"/>
          <w:lang w:val="fr-FR"/>
        </w:rPr>
        <w:t xml:space="preserve">au signe contesté uniquement par le terme « GOLAN », </w:t>
      </w:r>
      <w:r w:rsidR="003240EE" w:rsidRPr="0020749A">
        <w:rPr>
          <w:szCs w:val="22"/>
          <w:lang w:val="fr-FR"/>
        </w:rPr>
        <w:t xml:space="preserve">une partie significative dudit public </w:t>
      </w:r>
      <w:r w:rsidRPr="0020749A">
        <w:rPr>
          <w:szCs w:val="22"/>
          <w:lang w:val="fr-FR"/>
        </w:rPr>
        <w:t>prononcer</w:t>
      </w:r>
      <w:r w:rsidR="00542FE2" w:rsidRPr="0020749A">
        <w:rPr>
          <w:szCs w:val="22"/>
          <w:lang w:val="fr-FR"/>
        </w:rPr>
        <w:t>a</w:t>
      </w:r>
      <w:r w:rsidRPr="0020749A">
        <w:rPr>
          <w:szCs w:val="22"/>
          <w:lang w:val="fr-FR"/>
        </w:rPr>
        <w:t xml:space="preserve"> l’ensemble des éléments verbaux, à savoir « GOLAN DE CARTIER ». Dans </w:t>
      </w:r>
      <w:r w:rsidR="003240EE" w:rsidRPr="0020749A">
        <w:rPr>
          <w:szCs w:val="22"/>
          <w:lang w:val="fr-FR"/>
        </w:rPr>
        <w:t xml:space="preserve">ce dernier </w:t>
      </w:r>
      <w:r w:rsidRPr="0020749A">
        <w:rPr>
          <w:szCs w:val="22"/>
          <w:lang w:val="fr-FR"/>
        </w:rPr>
        <w:t>cas, les signes coïncident par la prononciation de l’élément « </w:t>
      </w:r>
      <w:r w:rsidR="008E7468" w:rsidRPr="0020749A">
        <w:rPr>
          <w:szCs w:val="22"/>
          <w:lang w:val="fr-FR"/>
        </w:rPr>
        <w:t>CARTIER</w:t>
      </w:r>
      <w:r w:rsidRPr="0020749A">
        <w:rPr>
          <w:szCs w:val="22"/>
          <w:lang w:val="fr-FR"/>
        </w:rPr>
        <w:t> »</w:t>
      </w:r>
      <w:r w:rsidR="008E7468" w:rsidRPr="0020749A">
        <w:rPr>
          <w:szCs w:val="22"/>
          <w:lang w:val="fr-FR"/>
        </w:rPr>
        <w:t xml:space="preserve"> mais compte tenu du fait </w:t>
      </w:r>
      <w:r w:rsidR="00542FE2" w:rsidRPr="0020749A">
        <w:rPr>
          <w:szCs w:val="22"/>
          <w:lang w:val="fr-FR"/>
        </w:rPr>
        <w:t>que ce dernier</w:t>
      </w:r>
      <w:r w:rsidR="008E7468" w:rsidRPr="0020749A">
        <w:rPr>
          <w:szCs w:val="22"/>
          <w:lang w:val="fr-FR"/>
        </w:rPr>
        <w:t xml:space="preserve"> n’apparaît qu’à la fin de l’expression et que les signes diffèrent </w:t>
      </w:r>
      <w:r w:rsidR="00542FE2" w:rsidRPr="0020749A">
        <w:rPr>
          <w:szCs w:val="22"/>
          <w:lang w:val="fr-FR"/>
        </w:rPr>
        <w:t xml:space="preserve">par leur </w:t>
      </w:r>
      <w:r w:rsidR="008E7468" w:rsidRPr="0020749A">
        <w:rPr>
          <w:szCs w:val="22"/>
          <w:lang w:val="fr-FR"/>
        </w:rPr>
        <w:t xml:space="preserve">rythme et longueur, </w:t>
      </w:r>
      <w:r w:rsidRPr="0020749A">
        <w:rPr>
          <w:szCs w:val="22"/>
          <w:lang w:val="fr-FR"/>
        </w:rPr>
        <w:t>les signes sont</w:t>
      </w:r>
      <w:r w:rsidR="006E5138" w:rsidRPr="0020749A">
        <w:rPr>
          <w:szCs w:val="22"/>
          <w:lang w:val="fr-FR"/>
        </w:rPr>
        <w:t xml:space="preserve"> phonétiquement</w:t>
      </w:r>
      <w:r w:rsidR="00DD5BE5" w:rsidRPr="0020749A">
        <w:rPr>
          <w:szCs w:val="22"/>
          <w:lang w:val="fr-FR"/>
        </w:rPr>
        <w:t xml:space="preserve"> </w:t>
      </w:r>
      <w:r w:rsidRPr="0020749A">
        <w:rPr>
          <w:szCs w:val="22"/>
          <w:lang w:val="fr-FR"/>
        </w:rPr>
        <w:t>similaires</w:t>
      </w:r>
      <w:r w:rsidR="006E5138" w:rsidRPr="0020749A">
        <w:rPr>
          <w:szCs w:val="22"/>
          <w:lang w:val="fr-FR"/>
        </w:rPr>
        <w:t xml:space="preserve"> à tout le moins</w:t>
      </w:r>
      <w:r w:rsidRPr="0020749A">
        <w:rPr>
          <w:szCs w:val="22"/>
          <w:lang w:val="fr-FR"/>
        </w:rPr>
        <w:t xml:space="preserve"> </w:t>
      </w:r>
      <w:r w:rsidR="00DD5BE5" w:rsidRPr="0020749A">
        <w:rPr>
          <w:szCs w:val="22"/>
          <w:lang w:val="fr-FR"/>
        </w:rPr>
        <w:t xml:space="preserve">à </w:t>
      </w:r>
      <w:r w:rsidRPr="0020749A">
        <w:rPr>
          <w:szCs w:val="22"/>
          <w:lang w:val="fr-FR"/>
        </w:rPr>
        <w:t xml:space="preserve">un </w:t>
      </w:r>
      <w:r w:rsidR="008E7468" w:rsidRPr="0020749A">
        <w:rPr>
          <w:szCs w:val="22"/>
          <w:lang w:val="fr-FR"/>
        </w:rPr>
        <w:t xml:space="preserve">faible </w:t>
      </w:r>
      <w:r w:rsidRPr="0020749A">
        <w:rPr>
          <w:szCs w:val="22"/>
          <w:lang w:val="fr-FR"/>
        </w:rPr>
        <w:t>degré</w:t>
      </w:r>
      <w:r w:rsidR="008E7468" w:rsidRPr="0020749A">
        <w:rPr>
          <w:szCs w:val="22"/>
          <w:lang w:val="fr-FR"/>
        </w:rPr>
        <w:t>.</w:t>
      </w:r>
    </w:p>
    <w:p w14:paraId="719EA674" w14:textId="77777777" w:rsidR="003C7699" w:rsidRPr="0020749A" w:rsidRDefault="003C7699" w:rsidP="00457366">
      <w:pPr>
        <w:jc w:val="both"/>
        <w:rPr>
          <w:szCs w:val="22"/>
          <w:lang w:val="fr-FR"/>
        </w:rPr>
      </w:pPr>
    </w:p>
    <w:p w14:paraId="6E64AD91" w14:textId="0F127783" w:rsidR="003C7699" w:rsidRPr="0020749A" w:rsidRDefault="003C7699" w:rsidP="00457366">
      <w:pPr>
        <w:jc w:val="both"/>
        <w:rPr>
          <w:szCs w:val="22"/>
          <w:lang w:val="fr-FR"/>
        </w:rPr>
      </w:pPr>
      <w:r w:rsidRPr="0020749A">
        <w:rPr>
          <w:b/>
          <w:szCs w:val="22"/>
          <w:lang w:val="fr-FR"/>
        </w:rPr>
        <w:t>Sur le plan conceptuel</w:t>
      </w:r>
      <w:r w:rsidRPr="0020749A">
        <w:rPr>
          <w:szCs w:val="22"/>
          <w:lang w:val="fr-FR"/>
        </w:rPr>
        <w:t xml:space="preserve">, il est fait référence aux affirmations précédentes concernant le contenu sémantique des marques. Étant donné que les deux signes seront associés au même </w:t>
      </w:r>
      <w:r w:rsidR="008E7468" w:rsidRPr="0020749A">
        <w:rPr>
          <w:szCs w:val="22"/>
          <w:lang w:val="fr-FR"/>
        </w:rPr>
        <w:t>patronyme</w:t>
      </w:r>
      <w:r w:rsidRPr="0020749A">
        <w:rPr>
          <w:szCs w:val="22"/>
          <w:lang w:val="fr-FR"/>
        </w:rPr>
        <w:t xml:space="preserve"> « </w:t>
      </w:r>
      <w:r w:rsidR="008E7468" w:rsidRPr="0020749A">
        <w:rPr>
          <w:szCs w:val="22"/>
          <w:lang w:val="fr-FR"/>
        </w:rPr>
        <w:t>CARTIER</w:t>
      </w:r>
      <w:r w:rsidRPr="0020749A">
        <w:rPr>
          <w:szCs w:val="22"/>
          <w:lang w:val="fr-FR"/>
        </w:rPr>
        <w:t xml:space="preserve"> » mais que la marque contestée </w:t>
      </w:r>
      <w:r w:rsidR="00542FE2" w:rsidRPr="0020749A">
        <w:rPr>
          <w:szCs w:val="22"/>
          <w:lang w:val="fr-FR"/>
        </w:rPr>
        <w:t>véhicule</w:t>
      </w:r>
      <w:r w:rsidR="00376A66" w:rsidRPr="0020749A">
        <w:rPr>
          <w:szCs w:val="22"/>
          <w:lang w:val="fr-FR"/>
        </w:rPr>
        <w:t xml:space="preserve"> également</w:t>
      </w:r>
      <w:r w:rsidR="00542FE2" w:rsidRPr="0020749A">
        <w:rPr>
          <w:szCs w:val="22"/>
          <w:lang w:val="fr-FR"/>
        </w:rPr>
        <w:t xml:space="preserve"> </w:t>
      </w:r>
      <w:r w:rsidR="00A47392" w:rsidRPr="0020749A">
        <w:rPr>
          <w:szCs w:val="22"/>
          <w:lang w:val="fr-FR"/>
        </w:rPr>
        <w:t xml:space="preserve">d’autres concepts, </w:t>
      </w:r>
      <w:r w:rsidRPr="0020749A">
        <w:rPr>
          <w:szCs w:val="22"/>
          <w:lang w:val="fr-FR"/>
        </w:rPr>
        <w:t>les signes sont similaires</w:t>
      </w:r>
      <w:r w:rsidR="00A66EEA" w:rsidRPr="0020749A">
        <w:rPr>
          <w:szCs w:val="22"/>
          <w:lang w:val="fr-FR"/>
        </w:rPr>
        <w:t xml:space="preserve"> </w:t>
      </w:r>
      <w:r w:rsidR="00A47392" w:rsidRPr="0020749A">
        <w:rPr>
          <w:szCs w:val="22"/>
          <w:lang w:val="fr-FR"/>
        </w:rPr>
        <w:t>à un degré</w:t>
      </w:r>
      <w:r w:rsidR="00DD5BE5" w:rsidRPr="0020749A">
        <w:rPr>
          <w:szCs w:val="22"/>
          <w:lang w:val="fr-FR"/>
        </w:rPr>
        <w:t xml:space="preserve"> moyen</w:t>
      </w:r>
      <w:r w:rsidRPr="0020749A">
        <w:rPr>
          <w:szCs w:val="22"/>
          <w:lang w:val="fr-FR"/>
        </w:rPr>
        <w:t>.</w:t>
      </w:r>
    </w:p>
    <w:p w14:paraId="27639694" w14:textId="053F1166" w:rsidR="003C7699" w:rsidRPr="0020749A" w:rsidRDefault="003C7699" w:rsidP="00457366">
      <w:pPr>
        <w:jc w:val="both"/>
        <w:rPr>
          <w:szCs w:val="22"/>
          <w:lang w:val="fr-FR"/>
        </w:rPr>
      </w:pPr>
      <w:r w:rsidRPr="0020749A">
        <w:rPr>
          <w:szCs w:val="22"/>
          <w:lang w:val="fr-FR"/>
        </w:rPr>
        <w:t> </w:t>
      </w:r>
    </w:p>
    <w:p w14:paraId="32946BD5" w14:textId="77777777" w:rsidR="003C7699" w:rsidRPr="0020749A" w:rsidRDefault="003C7699" w:rsidP="00457366">
      <w:pPr>
        <w:jc w:val="both"/>
        <w:rPr>
          <w:szCs w:val="22"/>
          <w:lang w:val="fr-FR"/>
        </w:rPr>
      </w:pPr>
      <w:r w:rsidRPr="0020749A">
        <w:rPr>
          <w:szCs w:val="22"/>
          <w:lang w:val="fr-FR"/>
        </w:rPr>
        <w:t>Dans la mesure où les signes présentent des similitudes au regard d’un aspect de la comparaison au moins, l’examen du risque de confusion sera réalisé.</w:t>
      </w:r>
    </w:p>
    <w:p w14:paraId="02F98979" w14:textId="77777777" w:rsidR="003C7699" w:rsidRPr="0020749A" w:rsidRDefault="003C7699" w:rsidP="00457366">
      <w:pPr>
        <w:jc w:val="both"/>
        <w:rPr>
          <w:szCs w:val="22"/>
          <w:lang w:val="fr-FR"/>
        </w:rPr>
      </w:pPr>
    </w:p>
    <w:p w14:paraId="61A3F1BC" w14:textId="77777777" w:rsidR="00A47392" w:rsidRPr="0020749A" w:rsidRDefault="00A47392" w:rsidP="00457366">
      <w:pPr>
        <w:jc w:val="both"/>
        <w:rPr>
          <w:szCs w:val="22"/>
          <w:lang w:val="fr-FR"/>
        </w:rPr>
      </w:pPr>
    </w:p>
    <w:p w14:paraId="697DAB09" w14:textId="7AD0408A" w:rsidR="00A47392" w:rsidRPr="0020749A" w:rsidRDefault="00A47392" w:rsidP="00457366">
      <w:pPr>
        <w:jc w:val="both"/>
        <w:rPr>
          <w:szCs w:val="22"/>
          <w:lang w:val="fr-FR"/>
        </w:rPr>
      </w:pPr>
      <w:r w:rsidRPr="0020749A">
        <w:rPr>
          <w:b/>
          <w:szCs w:val="22"/>
          <w:lang w:val="fr-FR"/>
        </w:rPr>
        <w:t>d) Caractère distinctif de la marque antérieure</w:t>
      </w:r>
    </w:p>
    <w:p w14:paraId="15176E22" w14:textId="5FB0503C" w:rsidR="00A47392" w:rsidRPr="0020749A" w:rsidRDefault="00A47392" w:rsidP="00457366">
      <w:pPr>
        <w:jc w:val="both"/>
        <w:rPr>
          <w:szCs w:val="22"/>
          <w:lang w:val="fr-FR"/>
        </w:rPr>
      </w:pPr>
      <w:r w:rsidRPr="0020749A">
        <w:rPr>
          <w:szCs w:val="22"/>
          <w:lang w:val="fr-FR"/>
        </w:rPr>
        <w:t> </w:t>
      </w:r>
    </w:p>
    <w:p w14:paraId="3EE8DD7A" w14:textId="77777777" w:rsidR="00A47392" w:rsidRPr="0020749A" w:rsidRDefault="00A47392" w:rsidP="00457366">
      <w:pPr>
        <w:jc w:val="both"/>
        <w:rPr>
          <w:szCs w:val="22"/>
          <w:lang w:val="fr-FR"/>
        </w:rPr>
      </w:pPr>
      <w:r w:rsidRPr="0020749A">
        <w:rPr>
          <w:szCs w:val="22"/>
          <w:lang w:val="fr-FR"/>
        </w:rPr>
        <w:t>Le caractère distinctif de la marque antérieure est l’un des facteurs à prendre en considération lors de l’appréciation globale du risque de confusion.</w:t>
      </w:r>
    </w:p>
    <w:p w14:paraId="068563F8" w14:textId="2D1B42C6" w:rsidR="00A47392" w:rsidRPr="0020749A" w:rsidRDefault="00A47392" w:rsidP="00457366">
      <w:pPr>
        <w:jc w:val="both"/>
        <w:rPr>
          <w:szCs w:val="22"/>
          <w:lang w:val="fr-FR"/>
        </w:rPr>
      </w:pPr>
      <w:r w:rsidRPr="0020749A">
        <w:rPr>
          <w:szCs w:val="22"/>
          <w:lang w:val="fr-FR"/>
        </w:rPr>
        <w:t> </w:t>
      </w:r>
    </w:p>
    <w:p w14:paraId="4658E1FB" w14:textId="7BD8759D" w:rsidR="00A47392" w:rsidRPr="0020749A" w:rsidRDefault="00F04CCF" w:rsidP="00457366">
      <w:pPr>
        <w:jc w:val="both"/>
        <w:rPr>
          <w:szCs w:val="22"/>
          <w:lang w:val="fr-FR"/>
        </w:rPr>
      </w:pPr>
      <w:bookmarkStart w:id="11" w:name="chk-paragraph-9-3-4-2_nodeId--1027617669"/>
      <w:r w:rsidRPr="0020749A">
        <w:rPr>
          <w:color w:val="000000"/>
          <w:lang w:val="fr-FR"/>
        </w:rPr>
        <w:t xml:space="preserve">Selon l’opposante, </w:t>
      </w:r>
      <w:r w:rsidRPr="0020749A">
        <w:rPr>
          <w:szCs w:val="22"/>
          <w:lang w:val="fr-FR"/>
        </w:rPr>
        <w:t xml:space="preserve">la marque antérieure jouit d’une renommée dans l’Union européenne pour une partie des produits pour lesquels elle a été enregistrée, c’est-à-dire pour les produits suivants de la classe 14 : </w:t>
      </w:r>
      <w:proofErr w:type="gramStart"/>
      <w:r w:rsidRPr="0020749A">
        <w:rPr>
          <w:i/>
          <w:iCs/>
          <w:szCs w:val="22"/>
          <w:lang w:val="fr-FR"/>
        </w:rPr>
        <w:t>joaillerie;</w:t>
      </w:r>
      <w:proofErr w:type="gramEnd"/>
      <w:r w:rsidRPr="0020749A">
        <w:rPr>
          <w:i/>
          <w:iCs/>
          <w:szCs w:val="22"/>
          <w:lang w:val="fr-FR"/>
        </w:rPr>
        <w:t xml:space="preserve"> </w:t>
      </w:r>
      <w:proofErr w:type="gramStart"/>
      <w:r w:rsidRPr="0020749A">
        <w:rPr>
          <w:i/>
          <w:iCs/>
          <w:szCs w:val="22"/>
          <w:lang w:val="fr-FR"/>
        </w:rPr>
        <w:t>bijouterie;</w:t>
      </w:r>
      <w:proofErr w:type="gramEnd"/>
      <w:r w:rsidRPr="0020749A">
        <w:rPr>
          <w:i/>
          <w:iCs/>
          <w:szCs w:val="22"/>
          <w:lang w:val="fr-FR"/>
        </w:rPr>
        <w:t xml:space="preserve"> </w:t>
      </w:r>
      <w:proofErr w:type="gramStart"/>
      <w:r w:rsidRPr="0020749A">
        <w:rPr>
          <w:i/>
          <w:iCs/>
          <w:szCs w:val="22"/>
          <w:lang w:val="fr-FR"/>
        </w:rPr>
        <w:t>bagues;</w:t>
      </w:r>
      <w:proofErr w:type="gramEnd"/>
      <w:r w:rsidRPr="0020749A">
        <w:rPr>
          <w:i/>
          <w:iCs/>
          <w:szCs w:val="22"/>
          <w:lang w:val="fr-FR"/>
        </w:rPr>
        <w:t xml:space="preserve"> </w:t>
      </w:r>
      <w:proofErr w:type="gramStart"/>
      <w:r w:rsidRPr="0020749A">
        <w:rPr>
          <w:i/>
          <w:iCs/>
          <w:szCs w:val="22"/>
          <w:lang w:val="fr-FR"/>
        </w:rPr>
        <w:t>bracelets;</w:t>
      </w:r>
      <w:proofErr w:type="gramEnd"/>
      <w:r w:rsidRPr="0020749A">
        <w:rPr>
          <w:i/>
          <w:iCs/>
          <w:szCs w:val="22"/>
          <w:lang w:val="fr-FR"/>
        </w:rPr>
        <w:t xml:space="preserve"> boucles </w:t>
      </w:r>
      <w:proofErr w:type="gramStart"/>
      <w:r w:rsidRPr="0020749A">
        <w:rPr>
          <w:i/>
          <w:iCs/>
          <w:szCs w:val="22"/>
          <w:lang w:val="fr-FR"/>
        </w:rPr>
        <w:t>d'oreilles;</w:t>
      </w:r>
      <w:proofErr w:type="gramEnd"/>
      <w:r w:rsidRPr="0020749A">
        <w:rPr>
          <w:i/>
          <w:iCs/>
          <w:szCs w:val="22"/>
          <w:lang w:val="fr-FR"/>
        </w:rPr>
        <w:t xml:space="preserve"> colliers</w:t>
      </w:r>
      <w:r w:rsidRPr="0020749A">
        <w:rPr>
          <w:szCs w:val="22"/>
          <w:lang w:val="fr-FR"/>
        </w:rPr>
        <w:t>.</w:t>
      </w:r>
      <w:r w:rsidR="00DD5BE5" w:rsidRPr="0020749A">
        <w:rPr>
          <w:szCs w:val="22"/>
          <w:lang w:val="fr-FR"/>
        </w:rPr>
        <w:t xml:space="preserve"> Toutefois, </w:t>
      </w:r>
      <w:r w:rsidRPr="0020749A">
        <w:rPr>
          <w:szCs w:val="22"/>
          <w:lang w:val="fr-FR"/>
        </w:rPr>
        <w:t>les documents présentés par l’opposante n’ont pas été traduits dans la langue de la procédure et c</w:t>
      </w:r>
      <w:r w:rsidR="00DD5BE5" w:rsidRPr="0020749A">
        <w:rPr>
          <w:szCs w:val="22"/>
          <w:lang w:val="fr-FR"/>
        </w:rPr>
        <w:t xml:space="preserve">onformément à l’article 7, paragraphe 5, du RDMUE, </w:t>
      </w:r>
      <w:r w:rsidRPr="0020749A">
        <w:rPr>
          <w:szCs w:val="22"/>
          <w:lang w:val="fr-FR"/>
        </w:rPr>
        <w:t xml:space="preserve">ils </w:t>
      </w:r>
      <w:r w:rsidR="00DD5BE5" w:rsidRPr="0020749A">
        <w:rPr>
          <w:szCs w:val="22"/>
          <w:lang w:val="fr-FR"/>
        </w:rPr>
        <w:t>ne sont pas pris en considération</w:t>
      </w:r>
      <w:r w:rsidR="007E5FF7" w:rsidRPr="0020749A">
        <w:rPr>
          <w:szCs w:val="22"/>
          <w:lang w:val="fr-FR"/>
        </w:rPr>
        <w:t>. En tout état de cause, quand bien même ils seraient pris en considération, il y a lieu de noter que les produits pour lesquels l’opposante revendique la renommée ne sont pas mêmes similaires aux produits contestés. Or, conformément à l’article 8, paragraphe 1, point</w:t>
      </w:r>
      <w:r w:rsidR="0020749A" w:rsidRPr="0020749A">
        <w:rPr>
          <w:szCs w:val="22"/>
          <w:lang w:val="fr-FR"/>
        </w:rPr>
        <w:t xml:space="preserve"> </w:t>
      </w:r>
      <w:r w:rsidR="007E5FF7" w:rsidRPr="0020749A">
        <w:rPr>
          <w:szCs w:val="22"/>
          <w:lang w:val="fr-FR"/>
        </w:rPr>
        <w:t>b), du RMUE, la similitude des produits ou services est une condition de l’existence d’un risque de confusion. Dans la mesure où les produits de l’opposante dans la classe 14 sont manifestement différents des produits contestés en ce qu’ils ne partagent ni nature ni destination ou encore méthode d’usage et qu’ils ne sont pas produits par les mêmes entreprises ni ne partagent les mêmes canaux de distribution, et en sont pas davantage complémentaires ou concurrents, l’une des conditions nécessaires de l’article 8, paragraphe 1, point b), du RMUE n’est pas remplie. Ainsi donc, un caractère distinctif élevé pour ces produits de la marque antérieure ne modifierait en rien l’issue de la présente opposition.</w:t>
      </w:r>
    </w:p>
    <w:p w14:paraId="5AE23F8F" w14:textId="37F3B257" w:rsidR="00A47392" w:rsidRPr="0020749A" w:rsidRDefault="00A47392" w:rsidP="00457366">
      <w:pPr>
        <w:jc w:val="both"/>
        <w:rPr>
          <w:szCs w:val="22"/>
          <w:lang w:val="fr-FR"/>
        </w:rPr>
      </w:pPr>
      <w:r w:rsidRPr="0020749A">
        <w:rPr>
          <w:szCs w:val="22"/>
          <w:lang w:val="fr-FR"/>
        </w:rPr>
        <w:t> </w:t>
      </w:r>
    </w:p>
    <w:bookmarkEnd w:id="11"/>
    <w:p w14:paraId="34AD47F0" w14:textId="0F05C5E1" w:rsidR="00A47392" w:rsidRPr="0020749A" w:rsidRDefault="00A47392" w:rsidP="00457366">
      <w:pPr>
        <w:jc w:val="both"/>
        <w:rPr>
          <w:szCs w:val="22"/>
          <w:lang w:val="fr-FR"/>
        </w:rPr>
      </w:pPr>
      <w:r w:rsidRPr="0020749A">
        <w:rPr>
          <w:szCs w:val="22"/>
          <w:lang w:val="fr-FR"/>
        </w:rPr>
        <w:t>Par conséquent, l’appréciation du caractère distinctif de la marque antérieure reposera sur son caractère distinctif intrinsèque. En l’espèce, la marque antérieure dans son ensemble n’a de signification en rapport avec aucun des produits en cause du point de vue du public analysé. Dès lors, le caractère distinctif de la marque antérieure doit être considéré comme normal.</w:t>
      </w:r>
    </w:p>
    <w:p w14:paraId="76AD86BE" w14:textId="77777777" w:rsidR="00A47392" w:rsidRPr="0020749A" w:rsidRDefault="00A47392" w:rsidP="00457366">
      <w:pPr>
        <w:jc w:val="both"/>
        <w:rPr>
          <w:szCs w:val="22"/>
          <w:lang w:val="fr-FR"/>
        </w:rPr>
      </w:pPr>
    </w:p>
    <w:p w14:paraId="6347B584" w14:textId="079E5EB5" w:rsidR="00762158" w:rsidRPr="0020749A" w:rsidRDefault="00762158" w:rsidP="00457366">
      <w:pPr>
        <w:jc w:val="both"/>
        <w:rPr>
          <w:szCs w:val="22"/>
          <w:lang w:val="fr-FR"/>
        </w:rPr>
      </w:pPr>
    </w:p>
    <w:p w14:paraId="37E9B842" w14:textId="72C9F6A4" w:rsidR="00A47392" w:rsidRPr="0020749A" w:rsidRDefault="00A47392" w:rsidP="00457366">
      <w:pPr>
        <w:jc w:val="both"/>
        <w:rPr>
          <w:szCs w:val="22"/>
          <w:lang w:val="fr-FR"/>
        </w:rPr>
      </w:pPr>
      <w:r w:rsidRPr="0020749A">
        <w:rPr>
          <w:b/>
          <w:szCs w:val="22"/>
          <w:lang w:val="fr-FR"/>
        </w:rPr>
        <w:t>e) Appréciation globale, autres arguments et conclusion</w:t>
      </w:r>
    </w:p>
    <w:p w14:paraId="1C4E8E40" w14:textId="77777777" w:rsidR="00A47392" w:rsidRPr="0020749A" w:rsidRDefault="00A47392" w:rsidP="00457366">
      <w:pPr>
        <w:jc w:val="both"/>
        <w:rPr>
          <w:szCs w:val="22"/>
          <w:lang w:val="fr-FR"/>
        </w:rPr>
      </w:pPr>
    </w:p>
    <w:p w14:paraId="0CB3F1AA" w14:textId="51AAEDC7" w:rsidR="00A47392" w:rsidRPr="0020749A" w:rsidRDefault="00A47392" w:rsidP="00457366">
      <w:pPr>
        <w:jc w:val="both"/>
        <w:rPr>
          <w:szCs w:val="22"/>
          <w:lang w:val="fr-FR"/>
        </w:rPr>
      </w:pPr>
      <w:r w:rsidRPr="0020749A">
        <w:rPr>
          <w:szCs w:val="22"/>
          <w:lang w:val="fr-FR"/>
        </w:rPr>
        <w:t xml:space="preserve">L’appréciation globale du risque de confusion implique une certaine interdépendance entre les facteurs pris en compte et, notamment, la similitude des marques et celle des produits ou des services. Ainsi, un faible degré de similitude entre les produits et services peut être </w:t>
      </w:r>
      <w:r w:rsidRPr="0020749A">
        <w:rPr>
          <w:szCs w:val="22"/>
          <w:lang w:val="fr-FR"/>
        </w:rPr>
        <w:lastRenderedPageBreak/>
        <w:t>compensé par un degré élevé de similitude entre les marques et inversement (29/09/1998, C</w:t>
      </w:r>
      <w:r w:rsidRPr="0020749A">
        <w:rPr>
          <w:rFonts w:ascii="Cambria Math" w:hAnsi="Cambria Math" w:cs="Cambria Math"/>
          <w:szCs w:val="22"/>
          <w:lang w:val="fr-FR"/>
        </w:rPr>
        <w:t>‑</w:t>
      </w:r>
      <w:r w:rsidRPr="0020749A">
        <w:rPr>
          <w:szCs w:val="22"/>
          <w:lang w:val="fr-FR"/>
        </w:rPr>
        <w:t xml:space="preserve">39/97, Canon, </w:t>
      </w:r>
      <w:proofErr w:type="gramStart"/>
      <w:r w:rsidRPr="0020749A">
        <w:rPr>
          <w:szCs w:val="22"/>
          <w:lang w:val="fr-FR"/>
        </w:rPr>
        <w:t>EU:C:1998:</w:t>
      </w:r>
      <w:proofErr w:type="gramEnd"/>
      <w:r w:rsidRPr="0020749A">
        <w:rPr>
          <w:szCs w:val="22"/>
          <w:lang w:val="fr-FR"/>
        </w:rPr>
        <w:t>442, § 17).</w:t>
      </w:r>
    </w:p>
    <w:p w14:paraId="6E4AB403" w14:textId="77777777" w:rsidR="00A47392" w:rsidRPr="0020749A" w:rsidRDefault="00A47392" w:rsidP="00457366">
      <w:pPr>
        <w:jc w:val="both"/>
        <w:rPr>
          <w:szCs w:val="22"/>
          <w:lang w:val="fr-FR"/>
        </w:rPr>
      </w:pPr>
    </w:p>
    <w:p w14:paraId="42E8CC34" w14:textId="3778B5A0" w:rsidR="00A47392" w:rsidRPr="0020749A" w:rsidRDefault="006E0D38" w:rsidP="00457366">
      <w:pPr>
        <w:jc w:val="both"/>
        <w:rPr>
          <w:szCs w:val="22"/>
          <w:lang w:val="fr-FR"/>
        </w:rPr>
      </w:pPr>
      <w:r>
        <w:rPr>
          <w:szCs w:val="22"/>
          <w:lang w:val="fr-FR"/>
        </w:rPr>
        <w:t>’</w:t>
      </w:r>
    </w:p>
    <w:p w14:paraId="77EEBD21" w14:textId="77777777" w:rsidR="00A47392" w:rsidRPr="0020749A" w:rsidRDefault="00A47392" w:rsidP="00457366">
      <w:pPr>
        <w:jc w:val="both"/>
        <w:rPr>
          <w:szCs w:val="22"/>
          <w:lang w:val="fr-FR"/>
        </w:rPr>
      </w:pPr>
    </w:p>
    <w:p w14:paraId="1CDA9DD1" w14:textId="77777777" w:rsidR="00A47392" w:rsidRPr="0020749A" w:rsidRDefault="00A47392" w:rsidP="00457366">
      <w:pPr>
        <w:jc w:val="both"/>
        <w:rPr>
          <w:szCs w:val="22"/>
          <w:lang w:val="fr-FR"/>
        </w:rPr>
      </w:pPr>
      <w:r w:rsidRPr="0020749A">
        <w:rPr>
          <w:szCs w:val="22"/>
          <w:lang w:val="fr-FR"/>
        </w:rPr>
        <w:t xml:space="preserve">Le risque de confusion désigne les situations dans lesquelles le consommateur confond directement les marques entre elles ou fait un rapprochement entre les signes en conflit et suppose que les produits/services désignés proviennent de la même entreprise ou d’entreprises liées économiquement. </w:t>
      </w:r>
    </w:p>
    <w:p w14:paraId="09E5141A" w14:textId="77777777" w:rsidR="00A47392" w:rsidRPr="0020749A" w:rsidRDefault="00A47392" w:rsidP="00457366">
      <w:pPr>
        <w:jc w:val="both"/>
        <w:rPr>
          <w:szCs w:val="22"/>
          <w:lang w:val="fr-FR"/>
        </w:rPr>
      </w:pPr>
    </w:p>
    <w:p w14:paraId="3440CD43" w14:textId="44EF0CDE" w:rsidR="00A47392" w:rsidRPr="0020749A" w:rsidRDefault="0079501F" w:rsidP="00457366">
      <w:pPr>
        <w:jc w:val="both"/>
        <w:rPr>
          <w:szCs w:val="22"/>
          <w:lang w:val="fr-FR"/>
        </w:rPr>
      </w:pPr>
      <w:r w:rsidRPr="0020749A">
        <w:rPr>
          <w:szCs w:val="22"/>
          <w:lang w:val="fr-FR"/>
        </w:rPr>
        <w:t>Dans</w:t>
      </w:r>
      <w:r w:rsidR="00A47392" w:rsidRPr="0020749A">
        <w:rPr>
          <w:szCs w:val="22"/>
          <w:lang w:val="fr-FR"/>
        </w:rPr>
        <w:t xml:space="preserve"> le cas présent, </w:t>
      </w:r>
      <w:r w:rsidRPr="0020749A">
        <w:rPr>
          <w:szCs w:val="22"/>
          <w:lang w:val="fr-FR"/>
        </w:rPr>
        <w:t>les signes sont visuellement</w:t>
      </w:r>
      <w:r w:rsidR="00F04CCF" w:rsidRPr="0020749A">
        <w:rPr>
          <w:szCs w:val="22"/>
          <w:lang w:val="fr-FR"/>
        </w:rPr>
        <w:t xml:space="preserve"> similaires à un faible degré</w:t>
      </w:r>
      <w:r w:rsidR="00376A66" w:rsidRPr="0020749A">
        <w:rPr>
          <w:szCs w:val="22"/>
          <w:lang w:val="fr-FR"/>
        </w:rPr>
        <w:t xml:space="preserve"> et, pour une partie </w:t>
      </w:r>
      <w:r w:rsidR="008A76CD" w:rsidRPr="0020749A">
        <w:rPr>
          <w:szCs w:val="22"/>
          <w:lang w:val="fr-FR"/>
        </w:rPr>
        <w:t xml:space="preserve">significative </w:t>
      </w:r>
      <w:r w:rsidR="00376A66" w:rsidRPr="0020749A">
        <w:rPr>
          <w:szCs w:val="22"/>
          <w:lang w:val="fr-FR"/>
        </w:rPr>
        <w:t xml:space="preserve">du public, ils sont </w:t>
      </w:r>
      <w:r w:rsidRPr="0020749A">
        <w:rPr>
          <w:szCs w:val="22"/>
          <w:lang w:val="fr-FR"/>
        </w:rPr>
        <w:t xml:space="preserve">phonétiquement </w:t>
      </w:r>
      <w:r w:rsidR="00F04CCF" w:rsidRPr="0020749A">
        <w:rPr>
          <w:szCs w:val="22"/>
          <w:lang w:val="fr-FR"/>
        </w:rPr>
        <w:t xml:space="preserve">similaires </w:t>
      </w:r>
      <w:r w:rsidR="003240EE" w:rsidRPr="0020749A">
        <w:rPr>
          <w:szCs w:val="22"/>
          <w:lang w:val="fr-FR"/>
        </w:rPr>
        <w:t>à tout le moins à un faible degré</w:t>
      </w:r>
      <w:r w:rsidR="00376A66" w:rsidRPr="0020749A">
        <w:rPr>
          <w:szCs w:val="22"/>
          <w:lang w:val="fr-FR"/>
        </w:rPr>
        <w:t xml:space="preserve">. Sur le plan conceptuel, ils </w:t>
      </w:r>
      <w:r w:rsidR="008A76CD" w:rsidRPr="0020749A">
        <w:rPr>
          <w:szCs w:val="22"/>
          <w:lang w:val="fr-FR"/>
        </w:rPr>
        <w:t xml:space="preserve">sont </w:t>
      </w:r>
      <w:r w:rsidRPr="0020749A">
        <w:rPr>
          <w:szCs w:val="22"/>
          <w:lang w:val="fr-FR"/>
        </w:rPr>
        <w:t>similaires</w:t>
      </w:r>
      <w:r w:rsidR="006E5138" w:rsidRPr="0020749A">
        <w:rPr>
          <w:szCs w:val="22"/>
          <w:lang w:val="fr-FR"/>
        </w:rPr>
        <w:t xml:space="preserve"> à un degré moyen</w:t>
      </w:r>
      <w:r w:rsidR="00376A66" w:rsidRPr="0020749A">
        <w:rPr>
          <w:szCs w:val="22"/>
          <w:lang w:val="fr-FR"/>
        </w:rPr>
        <w:t xml:space="preserve">. En effet, </w:t>
      </w:r>
      <w:r w:rsidRPr="0020749A">
        <w:rPr>
          <w:szCs w:val="22"/>
          <w:lang w:val="fr-FR"/>
        </w:rPr>
        <w:t xml:space="preserve">le signe </w:t>
      </w:r>
      <w:r w:rsidR="00A47392" w:rsidRPr="0020749A">
        <w:rPr>
          <w:szCs w:val="22"/>
          <w:lang w:val="fr-FR"/>
        </w:rPr>
        <w:t xml:space="preserve">contesté reprend l’élément distinctif « CARTIER » qui constitue la marque antérieure de sorte que, même si le consommateur remarquera certainement les éléments additionnels </w:t>
      </w:r>
      <w:r w:rsidR="00F04CCF" w:rsidRPr="0020749A">
        <w:rPr>
          <w:szCs w:val="22"/>
          <w:lang w:val="fr-FR"/>
        </w:rPr>
        <w:t xml:space="preserve">du </w:t>
      </w:r>
      <w:r w:rsidRPr="0020749A">
        <w:rPr>
          <w:szCs w:val="22"/>
          <w:lang w:val="fr-FR"/>
        </w:rPr>
        <w:t>signe</w:t>
      </w:r>
      <w:r w:rsidR="00F04CCF" w:rsidRPr="0020749A">
        <w:rPr>
          <w:szCs w:val="22"/>
          <w:lang w:val="fr-FR"/>
        </w:rPr>
        <w:t xml:space="preserve"> contesté</w:t>
      </w:r>
      <w:r w:rsidR="00A47392" w:rsidRPr="0020749A">
        <w:rPr>
          <w:szCs w:val="22"/>
          <w:lang w:val="fr-FR"/>
        </w:rPr>
        <w:t xml:space="preserve">, il aura tendance à croire que les marques sont liées </w:t>
      </w:r>
      <w:r w:rsidRPr="0020749A">
        <w:rPr>
          <w:szCs w:val="22"/>
          <w:lang w:val="fr-FR"/>
        </w:rPr>
        <w:t xml:space="preserve">en raison </w:t>
      </w:r>
      <w:r w:rsidR="00376A66" w:rsidRPr="0020749A">
        <w:rPr>
          <w:szCs w:val="22"/>
          <w:lang w:val="fr-FR"/>
        </w:rPr>
        <w:t>de la coïncidence du patronyme «</w:t>
      </w:r>
      <w:r w:rsidR="007E4EE5" w:rsidRPr="0020749A">
        <w:rPr>
          <w:szCs w:val="22"/>
          <w:lang w:val="fr-FR"/>
        </w:rPr>
        <w:t> </w:t>
      </w:r>
      <w:r w:rsidRPr="0020749A">
        <w:rPr>
          <w:szCs w:val="22"/>
          <w:lang w:val="fr-FR"/>
        </w:rPr>
        <w:t xml:space="preserve">CARTIER » ce qui </w:t>
      </w:r>
      <w:r w:rsidR="00F16D88" w:rsidRPr="0020749A">
        <w:rPr>
          <w:szCs w:val="22"/>
          <w:lang w:val="fr-FR"/>
        </w:rPr>
        <w:t xml:space="preserve">permet de </w:t>
      </w:r>
      <w:r w:rsidRPr="0020749A">
        <w:rPr>
          <w:szCs w:val="22"/>
          <w:lang w:val="fr-FR"/>
        </w:rPr>
        <w:t xml:space="preserve">supposer que les produits couverts par le signe contesté proviennent de la même entreprise que ceux de la marque antérieure, à savoir </w:t>
      </w:r>
      <w:r w:rsidR="00F16D88" w:rsidRPr="0020749A">
        <w:rPr>
          <w:szCs w:val="22"/>
          <w:lang w:val="fr-FR"/>
        </w:rPr>
        <w:t xml:space="preserve">ceux vendus sous la marque </w:t>
      </w:r>
      <w:r w:rsidRPr="0020749A">
        <w:rPr>
          <w:szCs w:val="22"/>
          <w:lang w:val="fr-FR"/>
        </w:rPr>
        <w:t>« CARTIER »</w:t>
      </w:r>
      <w:r w:rsidR="00A47392" w:rsidRPr="0020749A">
        <w:rPr>
          <w:szCs w:val="22"/>
          <w:lang w:val="fr-FR"/>
        </w:rPr>
        <w:t xml:space="preserve"> (23/10/2002, T</w:t>
      </w:r>
      <w:r w:rsidR="00A47392" w:rsidRPr="0020749A">
        <w:rPr>
          <w:rFonts w:ascii="Cambria Math" w:hAnsi="Cambria Math" w:cs="Cambria Math"/>
          <w:szCs w:val="22"/>
          <w:lang w:val="fr-FR"/>
        </w:rPr>
        <w:t>‑</w:t>
      </w:r>
      <w:r w:rsidR="00A47392" w:rsidRPr="0020749A">
        <w:rPr>
          <w:szCs w:val="22"/>
          <w:lang w:val="fr-FR"/>
        </w:rPr>
        <w:t>104/01, Miss Fifties, EU:T:2002:262, § 49). </w:t>
      </w:r>
    </w:p>
    <w:p w14:paraId="350F5670" w14:textId="77777777" w:rsidR="00A47392" w:rsidRPr="0020749A" w:rsidRDefault="00A47392" w:rsidP="00457366">
      <w:pPr>
        <w:jc w:val="both"/>
        <w:rPr>
          <w:szCs w:val="22"/>
          <w:lang w:val="fr-FR"/>
        </w:rPr>
      </w:pPr>
    </w:p>
    <w:p w14:paraId="02DD5092" w14:textId="127B7B20" w:rsidR="00762158" w:rsidRPr="0020749A" w:rsidRDefault="00305D46" w:rsidP="00457366">
      <w:pPr>
        <w:jc w:val="both"/>
        <w:rPr>
          <w:szCs w:val="22"/>
          <w:lang w:val="fr-FR"/>
        </w:rPr>
      </w:pPr>
      <w:r w:rsidRPr="0020749A">
        <w:rPr>
          <w:szCs w:val="22"/>
          <w:lang w:val="fr-FR"/>
        </w:rPr>
        <w:t>À la lumière des éléments qui précèdent, il existe un risque de confusion dans l’esprit de la partie du public qui parle français</w:t>
      </w:r>
      <w:r w:rsidR="00F16D88" w:rsidRPr="0020749A">
        <w:rPr>
          <w:szCs w:val="22"/>
          <w:lang w:val="fr-FR"/>
        </w:rPr>
        <w:t>.</w:t>
      </w:r>
      <w:r w:rsidRPr="0020749A">
        <w:rPr>
          <w:szCs w:val="22"/>
          <w:lang w:val="fr-FR"/>
        </w:rPr>
        <w:t xml:space="preserve"> Comme indiqué ci-dessus à la section</w:t>
      </w:r>
      <w:r w:rsidR="0020749A" w:rsidRPr="0020749A">
        <w:rPr>
          <w:szCs w:val="22"/>
          <w:lang w:val="fr-FR"/>
        </w:rPr>
        <w:t xml:space="preserve"> </w:t>
      </w:r>
      <w:r w:rsidRPr="0020749A">
        <w:rPr>
          <w:szCs w:val="22"/>
          <w:lang w:val="fr-FR"/>
        </w:rPr>
        <w:t>c) de la présente décision, l’existence d’un risque de confusion dans l’esprit d’une partie seulement du public pertinent de l’Union européenne est suffisante pour rejeter la demande contestée.</w:t>
      </w:r>
    </w:p>
    <w:p w14:paraId="6DE93D33" w14:textId="77777777" w:rsidR="00762158" w:rsidRPr="0020749A" w:rsidRDefault="00762158" w:rsidP="00457366">
      <w:pPr>
        <w:jc w:val="both"/>
        <w:rPr>
          <w:szCs w:val="22"/>
          <w:lang w:val="fr-FR"/>
        </w:rPr>
      </w:pPr>
    </w:p>
    <w:p w14:paraId="266247D1" w14:textId="188236C2" w:rsidR="00305D46" w:rsidRPr="0020749A" w:rsidRDefault="00305D46" w:rsidP="00457366">
      <w:pPr>
        <w:jc w:val="both"/>
        <w:rPr>
          <w:szCs w:val="22"/>
          <w:lang w:val="fr-FR"/>
        </w:rPr>
      </w:pPr>
      <w:r w:rsidRPr="0020749A">
        <w:rPr>
          <w:szCs w:val="22"/>
          <w:lang w:val="fr-FR"/>
        </w:rPr>
        <w:t>L’opposition est dès lors fondée sur la base de l’enregistrement de marque de l’Union européenne n° 13 207 097 de l’opposante. Il en résulte que la marque contestée doit être rejetée pour tous les produits contestés.</w:t>
      </w:r>
    </w:p>
    <w:p w14:paraId="2369D98B" w14:textId="77777777" w:rsidR="00305D46" w:rsidRPr="0020749A" w:rsidRDefault="00305D46" w:rsidP="00457366">
      <w:pPr>
        <w:rPr>
          <w:szCs w:val="22"/>
          <w:lang w:val="fr-FR"/>
        </w:rPr>
      </w:pPr>
    </w:p>
    <w:p w14:paraId="0FF224F0" w14:textId="51C86DD8" w:rsidR="00305D46" w:rsidRPr="0020749A" w:rsidRDefault="00305D46" w:rsidP="00457366">
      <w:pPr>
        <w:jc w:val="both"/>
        <w:rPr>
          <w:szCs w:val="22"/>
          <w:lang w:val="fr-FR"/>
        </w:rPr>
      </w:pPr>
      <w:r w:rsidRPr="0020749A">
        <w:rPr>
          <w:szCs w:val="22"/>
          <w:lang w:val="fr-FR"/>
        </w:rPr>
        <w:t xml:space="preserve">L’opposition étant accueillie dans son intégralité sur la base du motif énoncé à l’article 8, paragraphe 1, point b), du RMUE, il n’est pas nécessaire d’examiner l’autre motif sur lequel l’opposition est fondée, à savoir celui prévu à l’article 8, paragraphe 5 du RMUE. </w:t>
      </w:r>
    </w:p>
    <w:p w14:paraId="55DF3E90" w14:textId="577FBB84" w:rsidR="00305D46" w:rsidRPr="0020749A" w:rsidRDefault="00305D46" w:rsidP="00457366">
      <w:pPr>
        <w:rPr>
          <w:szCs w:val="22"/>
          <w:lang w:val="fr-FR"/>
        </w:rPr>
      </w:pPr>
    </w:p>
    <w:p w14:paraId="3F5F11D7" w14:textId="5F3A2AEE" w:rsidR="00305D46" w:rsidRPr="0020749A" w:rsidRDefault="00305D46" w:rsidP="00457366">
      <w:pPr>
        <w:jc w:val="both"/>
        <w:rPr>
          <w:szCs w:val="22"/>
          <w:lang w:val="fr-FR"/>
        </w:rPr>
      </w:pPr>
      <w:r w:rsidRPr="0020749A">
        <w:rPr>
          <w:szCs w:val="22"/>
          <w:lang w:val="fr-FR"/>
        </w:rPr>
        <w:t xml:space="preserve">De même, étant donné que l’opposition fondée sur l’enregistrement de marque de l’Union européenne n° 13 207 097 est accueillie et que la marque contestée est rejetée pour tous les produits contre lesquels l’opposition était formée, il n’est pas nécessaire d’examiner les autres droits antérieurs invoqués par l’opposante (16/09/2004, T-342/02, Moser Grupo Media, </w:t>
      </w:r>
      <w:proofErr w:type="spellStart"/>
      <w:r w:rsidRPr="0020749A">
        <w:rPr>
          <w:szCs w:val="22"/>
          <w:lang w:val="fr-FR"/>
        </w:rPr>
        <w:t>s.l</w:t>
      </w:r>
      <w:proofErr w:type="spellEnd"/>
      <w:r w:rsidRPr="0020749A">
        <w:rPr>
          <w:szCs w:val="22"/>
          <w:lang w:val="fr-FR"/>
        </w:rPr>
        <w:t xml:space="preserve">. / MGM, </w:t>
      </w:r>
      <w:proofErr w:type="gramStart"/>
      <w:r w:rsidRPr="0020749A">
        <w:rPr>
          <w:szCs w:val="22"/>
          <w:lang w:val="fr-FR"/>
        </w:rPr>
        <w:t>EU:T</w:t>
      </w:r>
      <w:proofErr w:type="gramEnd"/>
      <w:r w:rsidRPr="0020749A">
        <w:rPr>
          <w:szCs w:val="22"/>
          <w:lang w:val="fr-FR"/>
        </w:rPr>
        <w:t>:</w:t>
      </w:r>
      <w:proofErr w:type="gramStart"/>
      <w:r w:rsidRPr="0020749A">
        <w:rPr>
          <w:szCs w:val="22"/>
          <w:lang w:val="fr-FR"/>
        </w:rPr>
        <w:t>2004:</w:t>
      </w:r>
      <w:proofErr w:type="gramEnd"/>
      <w:r w:rsidRPr="0020749A">
        <w:rPr>
          <w:szCs w:val="22"/>
          <w:lang w:val="fr-FR"/>
        </w:rPr>
        <w:t>268).</w:t>
      </w:r>
    </w:p>
    <w:p w14:paraId="706FFFFD" w14:textId="77777777" w:rsidR="00305D46" w:rsidRPr="0020749A" w:rsidRDefault="00305D46" w:rsidP="00457366">
      <w:pPr>
        <w:rPr>
          <w:szCs w:val="22"/>
          <w:lang w:val="fr-FR"/>
        </w:rPr>
      </w:pPr>
    </w:p>
    <w:p w14:paraId="02D9D44E" w14:textId="77777777" w:rsidR="00762158" w:rsidRPr="0020749A" w:rsidRDefault="00762158" w:rsidP="00457366">
      <w:pPr>
        <w:rPr>
          <w:szCs w:val="22"/>
          <w:lang w:val="fr-FR"/>
        </w:rPr>
      </w:pPr>
    </w:p>
    <w:p w14:paraId="741E1388" w14:textId="77777777" w:rsidR="00305D46" w:rsidRPr="0020749A" w:rsidRDefault="00305D46" w:rsidP="00457366">
      <w:pPr>
        <w:rPr>
          <w:szCs w:val="22"/>
          <w:lang w:val="fr-FR"/>
        </w:rPr>
      </w:pPr>
      <w:r w:rsidRPr="0020749A">
        <w:rPr>
          <w:b/>
          <w:bCs/>
          <w:szCs w:val="22"/>
          <w:lang w:val="fr-FR"/>
        </w:rPr>
        <w:t>FRAIS</w:t>
      </w:r>
    </w:p>
    <w:p w14:paraId="40E03FB1" w14:textId="3C30DBCF" w:rsidR="00305D46" w:rsidRPr="0020749A" w:rsidRDefault="00305D46" w:rsidP="00457366">
      <w:pPr>
        <w:rPr>
          <w:szCs w:val="22"/>
          <w:lang w:val="fr-FR"/>
        </w:rPr>
      </w:pPr>
      <w:r w:rsidRPr="0020749A">
        <w:rPr>
          <w:szCs w:val="22"/>
          <w:lang w:val="fr-FR"/>
        </w:rPr>
        <w:t> </w:t>
      </w:r>
    </w:p>
    <w:p w14:paraId="75F849BB" w14:textId="47510D47" w:rsidR="00305D46" w:rsidRPr="0020749A" w:rsidRDefault="00305D46" w:rsidP="00457366">
      <w:pPr>
        <w:jc w:val="both"/>
        <w:rPr>
          <w:szCs w:val="22"/>
          <w:lang w:val="fr-FR"/>
        </w:rPr>
      </w:pPr>
      <w:r w:rsidRPr="0020749A">
        <w:rPr>
          <w:szCs w:val="22"/>
          <w:lang w:val="fr-FR"/>
        </w:rPr>
        <w:t>Conformément à l’article 109, paragraphe 1, du RMUE, la partie perdante dans une procédure d’opposition supporte les frais et taxes exposés par l’autre partie.</w:t>
      </w:r>
    </w:p>
    <w:p w14:paraId="5131825E" w14:textId="79D35B5D" w:rsidR="00305D46" w:rsidRPr="0020749A" w:rsidRDefault="00305D46" w:rsidP="00457366">
      <w:pPr>
        <w:jc w:val="both"/>
        <w:rPr>
          <w:szCs w:val="22"/>
          <w:lang w:val="fr-FR"/>
        </w:rPr>
      </w:pPr>
      <w:r w:rsidRPr="0020749A">
        <w:rPr>
          <w:szCs w:val="22"/>
          <w:lang w:val="fr-FR"/>
        </w:rPr>
        <w:t> </w:t>
      </w:r>
    </w:p>
    <w:p w14:paraId="73633EAA" w14:textId="064FA76D" w:rsidR="00305D46" w:rsidRPr="0020749A" w:rsidRDefault="00305D46" w:rsidP="00457366">
      <w:pPr>
        <w:jc w:val="both"/>
        <w:rPr>
          <w:szCs w:val="22"/>
          <w:lang w:val="fr-FR"/>
        </w:rPr>
      </w:pPr>
      <w:r w:rsidRPr="0020749A">
        <w:rPr>
          <w:szCs w:val="22"/>
          <w:lang w:val="fr-FR"/>
        </w:rPr>
        <w:t>La demanderesse étant la partie perdante, elle doit supporter la taxe d’opposition ainsi que les frais exposés par l’opposante aux fins de la présente procédure.</w:t>
      </w:r>
    </w:p>
    <w:p w14:paraId="4167FCE3" w14:textId="77777777" w:rsidR="00305D46" w:rsidRPr="0020749A" w:rsidRDefault="00305D46" w:rsidP="00457366">
      <w:pPr>
        <w:jc w:val="both"/>
        <w:rPr>
          <w:szCs w:val="22"/>
          <w:lang w:val="fr-FR"/>
        </w:rPr>
      </w:pPr>
    </w:p>
    <w:p w14:paraId="4D5D777E" w14:textId="77777777" w:rsidR="00305D46" w:rsidRPr="0020749A" w:rsidRDefault="00305D46" w:rsidP="00457366">
      <w:pPr>
        <w:jc w:val="both"/>
        <w:rPr>
          <w:szCs w:val="22"/>
          <w:lang w:val="fr-FR"/>
        </w:rPr>
      </w:pPr>
      <w:r w:rsidRPr="0020749A">
        <w:rPr>
          <w:szCs w:val="22"/>
          <w:lang w:val="fr-FR"/>
        </w:rPr>
        <w:t>Conformément à l’article 109, paragraphes 1 et 7, du RMUE et à l’article 18, paragraphe 1, point c), sous i), du REMUE, les frais à rembourser à l’opposante sont la taxe d’opposition et les frais de représentation dont le montant est fixé dans la limite du taux maximal déterminé dans le REMUE.</w:t>
      </w:r>
    </w:p>
    <w:p w14:paraId="4D4AFC78" w14:textId="77777777" w:rsidR="00762158" w:rsidRPr="0020749A" w:rsidRDefault="00762158" w:rsidP="00457366">
      <w:pPr>
        <w:jc w:val="both"/>
        <w:rPr>
          <w:szCs w:val="22"/>
          <w:lang w:val="fr-FR"/>
        </w:rPr>
      </w:pPr>
    </w:p>
    <w:p w14:paraId="17C6BD6A" w14:textId="77777777" w:rsidR="00762158" w:rsidRPr="0020749A" w:rsidRDefault="00762158" w:rsidP="00457366">
      <w:pPr>
        <w:rPr>
          <w:szCs w:val="22"/>
          <w:lang w:val="fr-FR"/>
        </w:rPr>
      </w:pPr>
    </w:p>
    <w:p w14:paraId="0A0339BF" w14:textId="77777777" w:rsidR="000C6FCC" w:rsidRPr="0020749A" w:rsidRDefault="009F0151" w:rsidP="00457366">
      <w:pPr>
        <w:jc w:val="center"/>
        <w:rPr>
          <w:szCs w:val="22"/>
        </w:rPr>
      </w:pPr>
      <w:bookmarkStart w:id="12" w:name="rId8"/>
      <w:bookmarkStart w:id="13" w:name="chk-paragraph-15_nodeId-1949981362"/>
      <w:bookmarkEnd w:id="10"/>
      <w:r w:rsidRPr="0020749A">
        <w:rPr>
          <w:noProof/>
          <w:szCs w:val="22"/>
        </w:rPr>
        <w:lastRenderedPageBreak/>
        <w:drawing>
          <wp:inline distT="0" distB="0" distL="0" distR="0" wp14:anchorId="0A0339DE" wp14:editId="0A0339DF">
            <wp:extent cx="619125" cy="628650"/>
            <wp:effectExtent l="0" t="0" r="0" b="0"/>
            <wp:docPr id="667603781" name="Picture 66760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125" cy="628650"/>
                    </a:xfrm>
                    <a:prstGeom prst="rect">
                      <a:avLst/>
                    </a:prstGeom>
                  </pic:spPr>
                </pic:pic>
              </a:graphicData>
            </a:graphic>
          </wp:inline>
        </w:drawing>
      </w:r>
      <w:bookmarkEnd w:id="12"/>
    </w:p>
    <w:p w14:paraId="0A0339C0" w14:textId="1D1DCD3A" w:rsidR="000C6FCC" w:rsidRPr="0020749A" w:rsidRDefault="009F0151" w:rsidP="00457366">
      <w:pPr>
        <w:jc w:val="both"/>
        <w:rPr>
          <w:szCs w:val="22"/>
        </w:rPr>
      </w:pPr>
      <w:r w:rsidRPr="0020749A">
        <w:rPr>
          <w:szCs w:val="22"/>
        </w:rPr>
        <w:t> </w:t>
      </w:r>
    </w:p>
    <w:p w14:paraId="0A0339C1" w14:textId="711057EA" w:rsidR="000C6FCC" w:rsidRPr="0020749A" w:rsidRDefault="009F0151" w:rsidP="00457366">
      <w:pPr>
        <w:jc w:val="both"/>
        <w:rPr>
          <w:szCs w:val="22"/>
        </w:rPr>
      </w:pPr>
      <w:r w:rsidRPr="0020749A">
        <w:rPr>
          <w:szCs w:val="22"/>
        </w:rPr>
        <w:t> </w:t>
      </w:r>
    </w:p>
    <w:p w14:paraId="0A0339C2" w14:textId="77777777" w:rsidR="000C6FCC" w:rsidRPr="0020749A" w:rsidRDefault="009F0151" w:rsidP="00457366">
      <w:pPr>
        <w:jc w:val="center"/>
        <w:rPr>
          <w:szCs w:val="22"/>
        </w:rPr>
      </w:pPr>
      <w:r w:rsidRPr="0020749A">
        <w:rPr>
          <w:b/>
          <w:szCs w:val="22"/>
        </w:rPr>
        <w:t xml:space="preserve">La division </w:t>
      </w:r>
      <w:proofErr w:type="spellStart"/>
      <w:r w:rsidRPr="0020749A">
        <w:rPr>
          <w:b/>
          <w:szCs w:val="22"/>
        </w:rPr>
        <w:t>d’opposition</w:t>
      </w:r>
      <w:proofErr w:type="spellEnd"/>
    </w:p>
    <w:p w14:paraId="0A0339C3" w14:textId="599CADEB" w:rsidR="000C6FCC" w:rsidRPr="0020749A" w:rsidRDefault="009F0151" w:rsidP="00457366">
      <w:pPr>
        <w:jc w:val="both"/>
        <w:rPr>
          <w:szCs w:val="22"/>
        </w:rPr>
      </w:pPr>
      <w:r w:rsidRPr="0020749A">
        <w:rPr>
          <w:szCs w:val="22"/>
        </w:rPr>
        <w:t> </w:t>
      </w:r>
    </w:p>
    <w:p w14:paraId="0A0339C4" w14:textId="38A88CF9" w:rsidR="000C6FCC" w:rsidRPr="0020749A" w:rsidRDefault="009F0151" w:rsidP="00457366">
      <w:pPr>
        <w:jc w:val="both"/>
        <w:rPr>
          <w:szCs w:val="22"/>
        </w:rPr>
      </w:pPr>
      <w:r w:rsidRPr="0020749A">
        <w:rPr>
          <w:szCs w:val="22"/>
        </w:rPr>
        <w:t> </w:t>
      </w:r>
    </w:p>
    <w:tbl>
      <w:tblPr>
        <w:tblW w:w="0" w:type="auto"/>
        <w:tblCellSpacing w:w="0" w:type="auto"/>
        <w:tblLook w:val="04A0" w:firstRow="1" w:lastRow="0" w:firstColumn="1" w:lastColumn="0" w:noHBand="0" w:noVBand="1"/>
      </w:tblPr>
      <w:tblGrid>
        <w:gridCol w:w="3093"/>
        <w:gridCol w:w="2969"/>
        <w:gridCol w:w="2965"/>
      </w:tblGrid>
      <w:tr w:rsidR="00F16D88" w:rsidRPr="0020749A" w14:paraId="0A0339CA" w14:textId="77777777">
        <w:trPr>
          <w:trHeight w:val="30"/>
          <w:tblCellSpacing w:w="0" w:type="auto"/>
        </w:trPr>
        <w:tc>
          <w:tcPr>
            <w:tcW w:w="3779" w:type="dxa"/>
            <w:tcMar>
              <w:top w:w="15" w:type="dxa"/>
              <w:left w:w="15" w:type="dxa"/>
              <w:bottom w:w="15" w:type="dxa"/>
              <w:right w:w="15" w:type="dxa"/>
            </w:tcMar>
            <w:vAlign w:val="center"/>
          </w:tcPr>
          <w:p w14:paraId="0A0339C6" w14:textId="4CE6E22A" w:rsidR="000C6FCC" w:rsidRPr="00263A42" w:rsidRDefault="00305D46" w:rsidP="00457366">
            <w:pPr>
              <w:ind w:left="15"/>
              <w:jc w:val="center"/>
              <w:rPr>
                <w:szCs w:val="22"/>
                <w14:shadow w14:blurRad="50800" w14:dist="38100" w14:dir="2700000" w14:sx="100000" w14:sy="100000" w14:kx="0" w14:ky="0" w14:algn="tl">
                  <w14:srgbClr w14:val="000000">
                    <w14:alpha w14:val="60000"/>
                  </w14:srgbClr>
                </w14:shadow>
              </w:rPr>
            </w:pPr>
            <w:bookmarkStart w:id="14" w:name="docx4j_tbl_0"/>
            <w:r w:rsidRPr="0020749A">
              <w:rPr>
                <w:szCs w:val="22"/>
              </w:rPr>
              <w:t>Marine DARTEYRE</w:t>
            </w:r>
          </w:p>
        </w:tc>
        <w:tc>
          <w:tcPr>
            <w:tcW w:w="3780" w:type="dxa"/>
            <w:tcMar>
              <w:top w:w="15" w:type="dxa"/>
              <w:left w:w="15" w:type="dxa"/>
              <w:bottom w:w="15" w:type="dxa"/>
              <w:right w:w="15" w:type="dxa"/>
            </w:tcMar>
            <w:vAlign w:val="center"/>
          </w:tcPr>
          <w:p w14:paraId="0A0339C7" w14:textId="77777777" w:rsidR="000C6FCC" w:rsidRPr="00263A42" w:rsidRDefault="009F0151" w:rsidP="00457366">
            <w:pPr>
              <w:ind w:left="15"/>
              <w:jc w:val="center"/>
              <w:rPr>
                <w:szCs w:val="22"/>
                <w14:shadow w14:blurRad="50800" w14:dist="38100" w14:dir="2700000" w14:sx="100000" w14:sy="100000" w14:kx="0" w14:ky="0" w14:algn="tl">
                  <w14:srgbClr w14:val="000000">
                    <w14:alpha w14:val="60000"/>
                  </w14:srgbClr>
                </w14:shadow>
              </w:rPr>
            </w:pPr>
            <w:r w:rsidRPr="0020749A">
              <w:rPr>
                <w:szCs w:val="22"/>
              </w:rPr>
              <w:t>Martina GALLE</w:t>
            </w:r>
          </w:p>
        </w:tc>
        <w:tc>
          <w:tcPr>
            <w:tcW w:w="3780" w:type="dxa"/>
            <w:tcMar>
              <w:top w:w="15" w:type="dxa"/>
              <w:left w:w="15" w:type="dxa"/>
              <w:bottom w:w="15" w:type="dxa"/>
              <w:right w:w="15" w:type="dxa"/>
            </w:tcMar>
            <w:vAlign w:val="center"/>
          </w:tcPr>
          <w:p w14:paraId="0A0339C9" w14:textId="64A54D8D" w:rsidR="000C6FCC" w:rsidRPr="0020749A" w:rsidRDefault="00305D46" w:rsidP="00457366">
            <w:pPr>
              <w:ind w:left="15"/>
              <w:jc w:val="center"/>
              <w:rPr>
                <w:szCs w:val="22"/>
              </w:rPr>
            </w:pPr>
            <w:r w:rsidRPr="0020749A">
              <w:rPr>
                <w:szCs w:val="22"/>
              </w:rPr>
              <w:t>Cindy BAREL</w:t>
            </w:r>
          </w:p>
        </w:tc>
      </w:tr>
    </w:tbl>
    <w:p w14:paraId="53FE2ABE" w14:textId="77777777" w:rsidR="007E5FF7" w:rsidRPr="0020749A" w:rsidRDefault="007E5FF7" w:rsidP="00457366">
      <w:pPr>
        <w:jc w:val="both"/>
        <w:rPr>
          <w:szCs w:val="22"/>
          <w:lang w:val="fr-FR"/>
        </w:rPr>
      </w:pPr>
      <w:bookmarkStart w:id="15" w:name="chk-paragraph-17_nodeId-1939635670"/>
      <w:bookmarkEnd w:id="13"/>
      <w:bookmarkEnd w:id="14"/>
    </w:p>
    <w:p w14:paraId="09103269" w14:textId="77777777" w:rsidR="007E5FF7" w:rsidRPr="0020749A" w:rsidRDefault="007E5FF7" w:rsidP="00457366">
      <w:pPr>
        <w:jc w:val="both"/>
        <w:rPr>
          <w:szCs w:val="22"/>
          <w:lang w:val="fr-FR"/>
        </w:rPr>
      </w:pPr>
    </w:p>
    <w:p w14:paraId="0A0339D1" w14:textId="58BA95C3" w:rsidR="000C6FCC" w:rsidRPr="0020749A" w:rsidRDefault="009F0151" w:rsidP="00457366">
      <w:pPr>
        <w:jc w:val="both"/>
        <w:rPr>
          <w:szCs w:val="22"/>
          <w:lang w:val="fr-FR"/>
        </w:rPr>
      </w:pPr>
      <w:r w:rsidRPr="0020749A">
        <w:rPr>
          <w:szCs w:val="22"/>
          <w:lang w:val="fr-FR"/>
        </w:rPr>
        <w:t>Conformément à l’article 67, du RMUE, toute partie lésée par cette décision peut former un recours à son encontre. Conformément à l’article 68 du RMUE, le recours doit être formé par écrit auprès de l’Office dans un délai de deux mois à compter du jour de la notification de la présente décision. Il doit être déposé dans la langue de procédure de la décision attaquée. En outre, un mémoire exposant les motifs du recours doit être déposé par écrit dans un délai de quatre mois à compter de cette même date. Le recours n’est considéré comme formé qu’après paiement de la taxe de recours de 720 EUR.</w:t>
      </w:r>
      <w:bookmarkEnd w:id="15"/>
    </w:p>
    <w:p w14:paraId="5A29D092" w14:textId="77777777" w:rsidR="0020749A" w:rsidRPr="0020749A" w:rsidRDefault="0020749A">
      <w:pPr>
        <w:jc w:val="both"/>
        <w:rPr>
          <w:szCs w:val="22"/>
          <w:lang w:val="fr-FR"/>
        </w:rPr>
      </w:pPr>
    </w:p>
    <w:sectPr w:rsidR="0020749A" w:rsidRPr="0020749A">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942B" w14:textId="77777777" w:rsidR="00B5695D" w:rsidRDefault="00B5695D">
      <w:r>
        <w:separator/>
      </w:r>
    </w:p>
  </w:endnote>
  <w:endnote w:type="continuationSeparator" w:id="0">
    <w:p w14:paraId="07EDDBCE" w14:textId="77777777" w:rsidR="00B5695D" w:rsidRDefault="00B5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8C76" w14:textId="77777777" w:rsidR="0020749A" w:rsidRDefault="002074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6274" w14:textId="77777777" w:rsidR="0020749A" w:rsidRDefault="002074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CFCD" w14:textId="77777777" w:rsidR="0020749A" w:rsidRDefault="002074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650B7" w14:textId="77777777" w:rsidR="00B5695D" w:rsidRDefault="00B5695D">
      <w:r>
        <w:separator/>
      </w:r>
    </w:p>
  </w:footnote>
  <w:footnote w:type="continuationSeparator" w:id="0">
    <w:p w14:paraId="3064671A" w14:textId="77777777" w:rsidR="00B5695D" w:rsidRDefault="00B5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721C" w14:textId="77777777" w:rsidR="0020749A" w:rsidRDefault="002074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39E0" w14:textId="77777777" w:rsidR="000C6FCC" w:rsidRPr="00773526" w:rsidRDefault="009F0151">
    <w:pPr>
      <w:pBdr>
        <w:bottom w:val="single" w:sz="6" w:space="1" w:color="595959"/>
      </w:pBdr>
      <w:tabs>
        <w:tab w:val="right" w:pos="9000"/>
      </w:tabs>
      <w:rPr>
        <w:lang w:val="fr-FR"/>
      </w:rPr>
    </w:pPr>
    <w:r w:rsidRPr="00773526">
      <w:rPr>
        <w:lang w:val="fr-FR"/>
      </w:rPr>
      <w:t xml:space="preserve">Décision sur l’opposition n° </w:t>
    </w:r>
    <w:r w:rsidRPr="00773526">
      <w:rPr>
        <w:b/>
        <w:bCs/>
        <w:lang w:val="fr-FR"/>
      </w:rPr>
      <w:t>B 3 217 349</w:t>
    </w:r>
    <w:r w:rsidRPr="00773526">
      <w:rPr>
        <w:lang w:val="fr-FR"/>
      </w:rPr>
      <w:tab/>
      <w:t xml:space="preserve">Page </w:t>
    </w:r>
    <w:r>
      <w:fldChar w:fldCharType="begin"/>
    </w:r>
    <w:r w:rsidRPr="00773526">
      <w:rPr>
        <w:lang w:val="fr-FR"/>
      </w:rPr>
      <w:instrText>PAGE</w:instrText>
    </w:r>
    <w:r>
      <w:fldChar w:fldCharType="separate"/>
    </w:r>
    <w:r w:rsidRPr="00773526">
      <w:rPr>
        <w:lang w:val="fr-FR"/>
      </w:rPr>
      <w:t>1</w:t>
    </w:r>
    <w:r>
      <w:fldChar w:fldCharType="end"/>
    </w:r>
    <w:r w:rsidRPr="00773526">
      <w:rPr>
        <w:lang w:val="fr-FR"/>
      </w:rPr>
      <w:t xml:space="preserve"> sur </w:t>
    </w:r>
    <w:r>
      <w:fldChar w:fldCharType="begin"/>
    </w:r>
    <w:r w:rsidRPr="00773526">
      <w:rPr>
        <w:lang w:val="fr-FR"/>
      </w:rPr>
      <w:instrText>NUMPAGES</w:instrText>
    </w:r>
    <w:r>
      <w:fldChar w:fldCharType="separate"/>
    </w:r>
    <w:r w:rsidRPr="00773526">
      <w:rPr>
        <w:lang w:val="fr-FR"/>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39E1" w14:textId="77777777" w:rsidR="000C6FCC" w:rsidRDefault="009F0151">
    <w:r>
      <w:rPr>
        <w:noProof/>
      </w:rPr>
      <w:drawing>
        <wp:inline distT="0" distB="0" distL="0" distR="0" wp14:anchorId="0A0339E4" wp14:editId="0A0339E5">
          <wp:extent cx="1587500" cy="398159"/>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
                  <a:stretch>
                    <a:fillRect/>
                  </a:stretch>
                </pic:blipFill>
                <pic:spPr>
                  <a:xfrm>
                    <a:off x="0" y="0"/>
                    <a:ext cx="1587500" cy="398159"/>
                  </a:xfrm>
                  <a:prstGeom prst="rect">
                    <a:avLst/>
                  </a:prstGeom>
                </pic:spPr>
              </pic:pic>
            </a:graphicData>
          </a:graphic>
        </wp:inline>
      </w:drawing>
    </w:r>
  </w:p>
  <w:p w14:paraId="0A0339E2" w14:textId="77777777" w:rsidR="000C6FCC" w:rsidRDefault="009F0151">
    <w:pPr>
      <w:pBdr>
        <w:bottom w:val="single" w:sz="6" w:space="1" w:color="595959"/>
      </w:pBdr>
      <w:jc w:val="right"/>
    </w:pPr>
    <w:r>
      <w:rPr>
        <w:color w:val="595959"/>
        <w:sz w:val="18"/>
      </w:rPr>
      <w:t>DIVISION D’OPPOSITION</w:t>
    </w:r>
  </w:p>
  <w:p w14:paraId="0A0339E3" w14:textId="77777777" w:rsidR="000C6FCC" w:rsidRDefault="000C6FCC">
    <w:pPr>
      <w:spacing w:before="40"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E89"/>
    <w:multiLevelType w:val="multilevel"/>
    <w:tmpl w:val="867E1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2661F"/>
    <w:multiLevelType w:val="multilevel"/>
    <w:tmpl w:val="10C24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66903"/>
    <w:multiLevelType w:val="multilevel"/>
    <w:tmpl w:val="EC4A9BD8"/>
    <w:lvl w:ilvl="0">
      <w:start w:val="1"/>
      <w:numFmt w:val="bullet"/>
      <w:lvlText w:val=""/>
      <w:lvlJc w:val="left"/>
      <w:pPr>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1E3208"/>
    <w:multiLevelType w:val="multilevel"/>
    <w:tmpl w:val="108AC566"/>
    <w:lvl w:ilvl="0">
      <w:start w:val="1"/>
      <w:numFmt w:val="bullet"/>
      <w:lvlText w:val=""/>
      <w:lvlJc w:val="left"/>
      <w:pPr>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4299740">
    <w:abstractNumId w:val="5"/>
  </w:num>
  <w:num w:numId="2" w16cid:durableId="2004164973">
    <w:abstractNumId w:val="3"/>
  </w:num>
  <w:num w:numId="3" w16cid:durableId="384837703">
    <w:abstractNumId w:val="1"/>
  </w:num>
  <w:num w:numId="4" w16cid:durableId="126701474">
    <w:abstractNumId w:val="0"/>
  </w:num>
  <w:num w:numId="5" w16cid:durableId="821506560">
    <w:abstractNumId w:val="4"/>
  </w:num>
  <w:num w:numId="6" w16cid:durableId="1326591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CC"/>
    <w:rsid w:val="00080ADD"/>
    <w:rsid w:val="000A7D54"/>
    <w:rsid w:val="000B20AD"/>
    <w:rsid w:val="000C6FCC"/>
    <w:rsid w:val="000F65F8"/>
    <w:rsid w:val="00105D86"/>
    <w:rsid w:val="00115699"/>
    <w:rsid w:val="001F5DB8"/>
    <w:rsid w:val="0020749A"/>
    <w:rsid w:val="00263A42"/>
    <w:rsid w:val="00265DA1"/>
    <w:rsid w:val="00291697"/>
    <w:rsid w:val="002D1057"/>
    <w:rsid w:val="002D348E"/>
    <w:rsid w:val="002E0C22"/>
    <w:rsid w:val="002F1135"/>
    <w:rsid w:val="00302584"/>
    <w:rsid w:val="00305D46"/>
    <w:rsid w:val="003240EE"/>
    <w:rsid w:val="0034245F"/>
    <w:rsid w:val="00350AB7"/>
    <w:rsid w:val="00376A66"/>
    <w:rsid w:val="003C1411"/>
    <w:rsid w:val="003C7699"/>
    <w:rsid w:val="00457366"/>
    <w:rsid w:val="00542FE2"/>
    <w:rsid w:val="0055455A"/>
    <w:rsid w:val="00641968"/>
    <w:rsid w:val="00651E08"/>
    <w:rsid w:val="0065454D"/>
    <w:rsid w:val="006D6E13"/>
    <w:rsid w:val="006E0D38"/>
    <w:rsid w:val="006E5138"/>
    <w:rsid w:val="00701F5C"/>
    <w:rsid w:val="00726C15"/>
    <w:rsid w:val="00731E03"/>
    <w:rsid w:val="00762158"/>
    <w:rsid w:val="00773526"/>
    <w:rsid w:val="00777607"/>
    <w:rsid w:val="0079501F"/>
    <w:rsid w:val="007E4EE5"/>
    <w:rsid w:val="007E5FF7"/>
    <w:rsid w:val="00851300"/>
    <w:rsid w:val="00870FC0"/>
    <w:rsid w:val="008A76CD"/>
    <w:rsid w:val="008E7468"/>
    <w:rsid w:val="00915594"/>
    <w:rsid w:val="009920B7"/>
    <w:rsid w:val="009B6084"/>
    <w:rsid w:val="009F0151"/>
    <w:rsid w:val="00A47392"/>
    <w:rsid w:val="00A66EEA"/>
    <w:rsid w:val="00AD49EA"/>
    <w:rsid w:val="00AF5B19"/>
    <w:rsid w:val="00B121E0"/>
    <w:rsid w:val="00B5695D"/>
    <w:rsid w:val="00BD60DD"/>
    <w:rsid w:val="00C35CE4"/>
    <w:rsid w:val="00C87F8F"/>
    <w:rsid w:val="00CB2592"/>
    <w:rsid w:val="00CE3014"/>
    <w:rsid w:val="00D04B60"/>
    <w:rsid w:val="00D10064"/>
    <w:rsid w:val="00D2700A"/>
    <w:rsid w:val="00D80673"/>
    <w:rsid w:val="00D93698"/>
    <w:rsid w:val="00DD5BE5"/>
    <w:rsid w:val="00E33B87"/>
    <w:rsid w:val="00EA5495"/>
    <w:rsid w:val="00F04CCF"/>
    <w:rsid w:val="00F16D88"/>
    <w:rsid w:val="00F358CF"/>
    <w:rsid w:val="00FA3271"/>
    <w:rsid w:val="00FC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383B"/>
  <w15:docId w15:val="{73813B2B-1B8C-43BD-AEB7-C3F00F54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156082"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156082"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156082"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156082" w:themeColor="accent1"/>
      <w:spacing w:val="15"/>
      <w:sz w:val="24"/>
      <w:szCs w:val="24"/>
    </w:rPr>
  </w:style>
  <w:style w:type="paragraph" w:styleId="Titre">
    <w:name w:val="Title"/>
    <w:basedOn w:val="Normal"/>
    <w:next w:val="Normal"/>
    <w:link w:val="TitreC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467886" w:themeColor="hyperlink"/>
      <w:u w:val="single"/>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rPr>
      <w:b/>
      <w:bCs/>
      <w:color w:val="156082" w:themeColor="accent1"/>
      <w:sz w:val="18"/>
      <w:szCs w:val="18"/>
    </w:rPr>
  </w:style>
  <w:style w:type="paragraph" w:styleId="Rvision">
    <w:name w:val="Revision"/>
    <w:hidden/>
    <w:uiPriority w:val="99"/>
    <w:unhideWhenUsed/>
    <w:rsid w:val="002D1057"/>
  </w:style>
  <w:style w:type="character" w:styleId="Marquedecommentaire">
    <w:name w:val="annotation reference"/>
    <w:basedOn w:val="Policepardfaut"/>
    <w:uiPriority w:val="99"/>
    <w:semiHidden/>
    <w:unhideWhenUsed/>
    <w:rsid w:val="00A66EEA"/>
    <w:rPr>
      <w:sz w:val="16"/>
      <w:szCs w:val="16"/>
    </w:rPr>
  </w:style>
  <w:style w:type="paragraph" w:styleId="Commentaire">
    <w:name w:val="annotation text"/>
    <w:basedOn w:val="Normal"/>
    <w:link w:val="CommentaireCar"/>
    <w:uiPriority w:val="99"/>
    <w:unhideWhenUsed/>
    <w:rsid w:val="00A66EEA"/>
    <w:rPr>
      <w:sz w:val="20"/>
    </w:rPr>
  </w:style>
  <w:style w:type="character" w:customStyle="1" w:styleId="CommentaireCar">
    <w:name w:val="Commentaire Car"/>
    <w:basedOn w:val="Policepardfaut"/>
    <w:link w:val="Commentaire"/>
    <w:uiPriority w:val="99"/>
    <w:rsid w:val="00A66EEA"/>
    <w:rPr>
      <w:sz w:val="20"/>
    </w:rPr>
  </w:style>
  <w:style w:type="paragraph" w:styleId="Objetducommentaire">
    <w:name w:val="annotation subject"/>
    <w:basedOn w:val="Commentaire"/>
    <w:next w:val="Commentaire"/>
    <w:link w:val="ObjetducommentaireCar"/>
    <w:uiPriority w:val="99"/>
    <w:semiHidden/>
    <w:unhideWhenUsed/>
    <w:rsid w:val="00A66EEA"/>
    <w:rPr>
      <w:b/>
      <w:bCs/>
    </w:rPr>
  </w:style>
  <w:style w:type="character" w:customStyle="1" w:styleId="ObjetducommentaireCar">
    <w:name w:val="Objet du commentaire Car"/>
    <w:basedOn w:val="CommentaireCar"/>
    <w:link w:val="Objetducommentaire"/>
    <w:uiPriority w:val="99"/>
    <w:semiHidden/>
    <w:rsid w:val="00A66EEA"/>
    <w:rPr>
      <w:b/>
      <w:bCs/>
      <w:sz w:val="20"/>
    </w:rPr>
  </w:style>
  <w:style w:type="character" w:styleId="Mentionnonrsolue">
    <w:name w:val="Unresolved Mention"/>
    <w:basedOn w:val="Policepardfaut"/>
    <w:uiPriority w:val="99"/>
    <w:semiHidden/>
    <w:unhideWhenUsed/>
    <w:rsid w:val="00A66EEA"/>
    <w:rPr>
      <w:color w:val="605E5C"/>
      <w:shd w:val="clear" w:color="auto" w:fill="E1DFDD"/>
    </w:rPr>
  </w:style>
  <w:style w:type="paragraph" w:styleId="Pieddepage">
    <w:name w:val="footer"/>
    <w:basedOn w:val="Normal"/>
    <w:link w:val="PieddepageCar"/>
    <w:uiPriority w:val="99"/>
    <w:unhideWhenUsed/>
    <w:rsid w:val="002D348E"/>
    <w:pPr>
      <w:tabs>
        <w:tab w:val="center" w:pos="4680"/>
        <w:tab w:val="right" w:pos="9360"/>
      </w:tabs>
    </w:pPr>
  </w:style>
  <w:style w:type="character" w:customStyle="1" w:styleId="PieddepageCar">
    <w:name w:val="Pied de page Car"/>
    <w:basedOn w:val="Policepardfaut"/>
    <w:link w:val="Pieddepage"/>
    <w:uiPriority w:val="99"/>
    <w:rsid w:val="002D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3568">
      <w:bodyDiv w:val="1"/>
      <w:marLeft w:val="0"/>
      <w:marRight w:val="0"/>
      <w:marTop w:val="0"/>
      <w:marBottom w:val="0"/>
      <w:divBdr>
        <w:top w:val="none" w:sz="0" w:space="0" w:color="auto"/>
        <w:left w:val="none" w:sz="0" w:space="0" w:color="auto"/>
        <w:bottom w:val="none" w:sz="0" w:space="0" w:color="auto"/>
        <w:right w:val="none" w:sz="0" w:space="0" w:color="auto"/>
      </w:divBdr>
    </w:div>
    <w:div w:id="378825213">
      <w:bodyDiv w:val="1"/>
      <w:marLeft w:val="0"/>
      <w:marRight w:val="0"/>
      <w:marTop w:val="0"/>
      <w:marBottom w:val="0"/>
      <w:divBdr>
        <w:top w:val="none" w:sz="0" w:space="0" w:color="auto"/>
        <w:left w:val="none" w:sz="0" w:space="0" w:color="auto"/>
        <w:bottom w:val="none" w:sz="0" w:space="0" w:color="auto"/>
        <w:right w:val="none" w:sz="0" w:space="0" w:color="auto"/>
      </w:divBdr>
    </w:div>
    <w:div w:id="394084935">
      <w:bodyDiv w:val="1"/>
      <w:marLeft w:val="0"/>
      <w:marRight w:val="0"/>
      <w:marTop w:val="0"/>
      <w:marBottom w:val="0"/>
      <w:divBdr>
        <w:top w:val="none" w:sz="0" w:space="0" w:color="auto"/>
        <w:left w:val="none" w:sz="0" w:space="0" w:color="auto"/>
        <w:bottom w:val="none" w:sz="0" w:space="0" w:color="auto"/>
        <w:right w:val="none" w:sz="0" w:space="0" w:color="auto"/>
      </w:divBdr>
    </w:div>
    <w:div w:id="566650273">
      <w:bodyDiv w:val="1"/>
      <w:marLeft w:val="0"/>
      <w:marRight w:val="0"/>
      <w:marTop w:val="0"/>
      <w:marBottom w:val="0"/>
      <w:divBdr>
        <w:top w:val="none" w:sz="0" w:space="0" w:color="auto"/>
        <w:left w:val="none" w:sz="0" w:space="0" w:color="auto"/>
        <w:bottom w:val="none" w:sz="0" w:space="0" w:color="auto"/>
        <w:right w:val="none" w:sz="0" w:space="0" w:color="auto"/>
      </w:divBdr>
    </w:div>
    <w:div w:id="635531012">
      <w:bodyDiv w:val="1"/>
      <w:marLeft w:val="0"/>
      <w:marRight w:val="0"/>
      <w:marTop w:val="0"/>
      <w:marBottom w:val="0"/>
      <w:divBdr>
        <w:top w:val="none" w:sz="0" w:space="0" w:color="auto"/>
        <w:left w:val="none" w:sz="0" w:space="0" w:color="auto"/>
        <w:bottom w:val="none" w:sz="0" w:space="0" w:color="auto"/>
        <w:right w:val="none" w:sz="0" w:space="0" w:color="auto"/>
      </w:divBdr>
    </w:div>
    <w:div w:id="1193375273">
      <w:bodyDiv w:val="1"/>
      <w:marLeft w:val="0"/>
      <w:marRight w:val="0"/>
      <w:marTop w:val="0"/>
      <w:marBottom w:val="0"/>
      <w:divBdr>
        <w:top w:val="none" w:sz="0" w:space="0" w:color="auto"/>
        <w:left w:val="none" w:sz="0" w:space="0" w:color="auto"/>
        <w:bottom w:val="none" w:sz="0" w:space="0" w:color="auto"/>
        <w:right w:val="none" w:sz="0" w:space="0" w:color="auto"/>
      </w:divBdr>
    </w:div>
    <w:div w:id="1219824876">
      <w:bodyDiv w:val="1"/>
      <w:marLeft w:val="0"/>
      <w:marRight w:val="0"/>
      <w:marTop w:val="0"/>
      <w:marBottom w:val="0"/>
      <w:divBdr>
        <w:top w:val="none" w:sz="0" w:space="0" w:color="auto"/>
        <w:left w:val="none" w:sz="0" w:space="0" w:color="auto"/>
        <w:bottom w:val="none" w:sz="0" w:space="0" w:color="auto"/>
        <w:right w:val="none" w:sz="0" w:space="0" w:color="auto"/>
      </w:divBdr>
    </w:div>
    <w:div w:id="1294602508">
      <w:bodyDiv w:val="1"/>
      <w:marLeft w:val="0"/>
      <w:marRight w:val="0"/>
      <w:marTop w:val="0"/>
      <w:marBottom w:val="0"/>
      <w:divBdr>
        <w:top w:val="none" w:sz="0" w:space="0" w:color="auto"/>
        <w:left w:val="none" w:sz="0" w:space="0" w:color="auto"/>
        <w:bottom w:val="none" w:sz="0" w:space="0" w:color="auto"/>
        <w:right w:val="none" w:sz="0" w:space="0" w:color="auto"/>
      </w:divBdr>
    </w:div>
    <w:div w:id="1664312982">
      <w:bodyDiv w:val="1"/>
      <w:marLeft w:val="0"/>
      <w:marRight w:val="0"/>
      <w:marTop w:val="0"/>
      <w:marBottom w:val="0"/>
      <w:divBdr>
        <w:top w:val="none" w:sz="0" w:space="0" w:color="auto"/>
        <w:left w:val="none" w:sz="0" w:space="0" w:color="auto"/>
        <w:bottom w:val="none" w:sz="0" w:space="0" w:color="auto"/>
        <w:right w:val="none" w:sz="0" w:space="0" w:color="auto"/>
      </w:divBdr>
    </w:div>
    <w:div w:id="1918661062">
      <w:bodyDiv w:val="1"/>
      <w:marLeft w:val="0"/>
      <w:marRight w:val="0"/>
      <w:marTop w:val="0"/>
      <w:marBottom w:val="0"/>
      <w:divBdr>
        <w:top w:val="none" w:sz="0" w:space="0" w:color="auto"/>
        <w:left w:val="none" w:sz="0" w:space="0" w:color="auto"/>
        <w:bottom w:val="none" w:sz="0" w:space="0" w:color="auto"/>
        <w:right w:val="none" w:sz="0" w:space="0" w:color="auto"/>
      </w:divBdr>
    </w:div>
    <w:div w:id="1934126347">
      <w:bodyDiv w:val="1"/>
      <w:marLeft w:val="0"/>
      <w:marRight w:val="0"/>
      <w:marTop w:val="0"/>
      <w:marBottom w:val="0"/>
      <w:divBdr>
        <w:top w:val="none" w:sz="0" w:space="0" w:color="auto"/>
        <w:left w:val="none" w:sz="0" w:space="0" w:color="auto"/>
        <w:bottom w:val="none" w:sz="0" w:space="0" w:color="auto"/>
        <w:right w:val="none" w:sz="0" w:space="0" w:color="auto"/>
      </w:divBdr>
    </w:div>
    <w:div w:id="213879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ject xmlns="0e656187-b300-4fb0-8bf4-3a50f872073c" xsi:nil="true"/>
    <Document_x0020_Identification_x0020_Number xmlns="0e656187-b300-4fb0-8bf4-3a50f872073c">0155074394</Document_x0020_Identification_x0020_Number>
    <Description xmlns="0e656187-b300-4fb0-8bf4-3a50f87207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UIPO Document" ma:contentTypeID="0x010100C21373746720498FB1076AEBBDDB2BE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Subject" minOccurs="0"/>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Subject" ma:index="8" nillable="true" ma:displayName="Subject" ma:internalName="Subject">
      <xsd:simpleType>
        <xsd:restriction base="dms:Text">
</xsd:restriction>
      </xsd:simpleType>
    </xsd:element>
    <xsd:element name="Document_x0020_Identification_x0020_Number" ma:readOnly="true" ma:index="9" nillable="true" ma:displayName="Document Identification Number" ma:internalName="Document_x0020_Identification_x0020_Number">
      <xsd:simpleType>
        <xsd:restriction base="dms:Text">
</xsd:restriction>
      </xsd:simpleType>
    </xsd:element>
    <xsd:element name="Description" ma:index="10"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A52ABD-C26F-4D67-A472-3D09404FCEAE}">
  <ds:schemaRefs>
    <ds:schemaRef ds:uri="http://schemas.microsoft.com/sharepoint/v3/contenttype/forms"/>
  </ds:schemaRefs>
</ds:datastoreItem>
</file>

<file path=customXml/itemProps2.xml><?xml version="1.0" encoding="utf-8"?>
<ds:datastoreItem xmlns:ds="http://schemas.openxmlformats.org/officeDocument/2006/customXml" ds:itemID="{003C5856-1004-4B38-B27A-4262EAA699FE}">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EE3A6830-CA2D-43F6-8B90-50A099A0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2405</Words>
  <Characters>13230</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B3217349-FR-GOLAN DE CARTIER.docx</vt:lpstr>
      <vt:lpstr>B3217349-FR-GOLAN DE CARTIER.docx</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B3217349-FR-GOLAN DE CARTIER.docx</dc:title>
  <cp:lastModifiedBy>Julie CURTO</cp:lastModifiedBy>
  <cp:revision>2</cp:revision>
  <dcterms:created xsi:type="dcterms:W3CDTF">2025-05-21T15:14:00Z</dcterms:created>
  <dcterms:modified xsi:type="dcterms:W3CDTF">2025-05-21T15:14:00Z</dcterms:modified>
</cp:coreProperties>
</file>